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EC0" w14:textId="3FA1F3E2" w:rsidR="000550FB" w:rsidRPr="00C9411C" w:rsidRDefault="000550FB" w:rsidP="00802014">
      <w:pPr>
        <w:jc w:val="center"/>
        <w:rPr>
          <w:rFonts w:ascii="Times New Roman" w:hAnsi="Times New Roman" w:cs="Times New Roman"/>
        </w:rPr>
      </w:pPr>
    </w:p>
    <w:p w14:paraId="579D3E5C" w14:textId="77777777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D0EEB8C" w14:textId="77777777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D599D84" w14:textId="204CEA45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411C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240A1439" wp14:editId="499BFE0A">
            <wp:extent cx="2647315" cy="13169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5141C" w14:textId="77777777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2A091F" w14:textId="77777777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2C355FC" w14:textId="13CAE080" w:rsidR="00802014" w:rsidRPr="00C9411C" w:rsidRDefault="009C2B3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Summary Report:</w:t>
      </w:r>
    </w:p>
    <w:p w14:paraId="4315EB03" w14:textId="7A2741DF" w:rsidR="00802014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411C">
        <w:rPr>
          <w:rFonts w:ascii="Times New Roman" w:hAnsi="Times New Roman" w:cs="Times New Roman"/>
          <w:b/>
          <w:bCs/>
          <w:sz w:val="44"/>
          <w:szCs w:val="44"/>
        </w:rPr>
        <w:t>Validation Data for Terrace Metrics System</w:t>
      </w:r>
    </w:p>
    <w:p w14:paraId="79225D35" w14:textId="3E97799A" w:rsidR="00802014" w:rsidRPr="00C9411C" w:rsidRDefault="005A323A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School Version (</w:t>
      </w:r>
      <w:r w:rsidR="00802014" w:rsidRPr="00C9411C">
        <w:rPr>
          <w:rFonts w:ascii="Times New Roman" w:hAnsi="Times New Roman" w:cs="Times New Roman"/>
          <w:b/>
          <w:bCs/>
          <w:sz w:val="44"/>
          <w:szCs w:val="44"/>
        </w:rPr>
        <w:t xml:space="preserve">Grades </w:t>
      </w:r>
      <w:r>
        <w:rPr>
          <w:rFonts w:ascii="Times New Roman" w:hAnsi="Times New Roman" w:cs="Times New Roman"/>
          <w:b/>
          <w:bCs/>
          <w:sz w:val="44"/>
          <w:szCs w:val="44"/>
        </w:rPr>
        <w:t>3 – 12)</w:t>
      </w:r>
    </w:p>
    <w:p w14:paraId="5C5D90E4" w14:textId="77777777" w:rsidR="00690D6F" w:rsidRDefault="00690D6F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760C415" w14:textId="579DD0BC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411C">
        <w:rPr>
          <w:rFonts w:ascii="Times New Roman" w:hAnsi="Times New Roman" w:cs="Times New Roman"/>
          <w:b/>
          <w:bCs/>
          <w:sz w:val="44"/>
          <w:szCs w:val="44"/>
        </w:rPr>
        <w:t xml:space="preserve">Data Collection Dates: </w:t>
      </w:r>
    </w:p>
    <w:p w14:paraId="2145E69D" w14:textId="67ABB395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411C">
        <w:rPr>
          <w:rFonts w:ascii="Times New Roman" w:hAnsi="Times New Roman" w:cs="Times New Roman"/>
          <w:b/>
          <w:bCs/>
          <w:sz w:val="44"/>
          <w:szCs w:val="44"/>
        </w:rPr>
        <w:t>October 201</w:t>
      </w:r>
      <w:r w:rsidR="003B5CB2">
        <w:rPr>
          <w:rFonts w:ascii="Times New Roman" w:hAnsi="Times New Roman" w:cs="Times New Roman"/>
          <w:b/>
          <w:bCs/>
          <w:sz w:val="44"/>
          <w:szCs w:val="44"/>
        </w:rPr>
        <w:t>7</w:t>
      </w:r>
      <w:r w:rsidRPr="00C9411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90D6F">
        <w:rPr>
          <w:rFonts w:ascii="Times New Roman" w:hAnsi="Times New Roman" w:cs="Times New Roman"/>
          <w:b/>
          <w:bCs/>
          <w:sz w:val="44"/>
          <w:szCs w:val="44"/>
        </w:rPr>
        <w:t>and</w:t>
      </w:r>
      <w:r w:rsidRPr="00C9411C">
        <w:rPr>
          <w:rFonts w:ascii="Times New Roman" w:hAnsi="Times New Roman" w:cs="Times New Roman"/>
          <w:b/>
          <w:bCs/>
          <w:sz w:val="44"/>
          <w:szCs w:val="44"/>
        </w:rPr>
        <w:t xml:space="preserve"> September 201</w:t>
      </w:r>
      <w:r w:rsidR="002D0586">
        <w:rPr>
          <w:rFonts w:ascii="Times New Roman" w:hAnsi="Times New Roman" w:cs="Times New Roman"/>
          <w:b/>
          <w:bCs/>
          <w:sz w:val="44"/>
          <w:szCs w:val="44"/>
        </w:rPr>
        <w:t>8</w:t>
      </w:r>
    </w:p>
    <w:p w14:paraId="10456392" w14:textId="65CDBFD9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411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071591A1" w14:textId="4E50BE30" w:rsidR="00802014" w:rsidRPr="00C9411C" w:rsidRDefault="00802014">
      <w:pPr>
        <w:rPr>
          <w:rFonts w:ascii="Times New Roman" w:hAnsi="Times New Roman" w:cs="Times New Roman"/>
        </w:rPr>
      </w:pPr>
      <w:r w:rsidRPr="00C9411C">
        <w:rPr>
          <w:rFonts w:ascii="Times New Roman" w:hAnsi="Times New Roman" w:cs="Times New Roman"/>
        </w:rPr>
        <w:br w:type="page"/>
      </w:r>
    </w:p>
    <w:p w14:paraId="53BA453B" w14:textId="2FBA623E" w:rsidR="00802014" w:rsidRPr="00C9411C" w:rsidRDefault="00802014" w:rsidP="008020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411C">
        <w:rPr>
          <w:rFonts w:ascii="Times New Roman" w:hAnsi="Times New Roman" w:cs="Times New Roman"/>
          <w:b/>
          <w:bCs/>
          <w:sz w:val="36"/>
          <w:szCs w:val="36"/>
        </w:rPr>
        <w:lastRenderedPageBreak/>
        <w:t>Overview</w:t>
      </w:r>
    </w:p>
    <w:p w14:paraId="1C57BB85" w14:textId="66A8CF66" w:rsidR="00802014" w:rsidRDefault="00802014" w:rsidP="0057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11C">
        <w:rPr>
          <w:rFonts w:ascii="Times New Roman" w:hAnsi="Times New Roman" w:cs="Times New Roman"/>
          <w:sz w:val="24"/>
          <w:szCs w:val="24"/>
        </w:rPr>
        <w:t xml:space="preserve">The following information </w:t>
      </w:r>
      <w:r w:rsidR="009C2B34">
        <w:rPr>
          <w:rFonts w:ascii="Times New Roman" w:hAnsi="Times New Roman" w:cs="Times New Roman"/>
          <w:sz w:val="24"/>
          <w:szCs w:val="24"/>
        </w:rPr>
        <w:t xml:space="preserve">summarizes </w:t>
      </w:r>
      <w:r w:rsidRPr="00C9411C">
        <w:rPr>
          <w:rFonts w:ascii="Times New Roman" w:hAnsi="Times New Roman" w:cs="Times New Roman"/>
          <w:sz w:val="24"/>
          <w:szCs w:val="24"/>
        </w:rPr>
        <w:t>the psychometric properties of each indicator assessed within the Terrace Metrics</w:t>
      </w:r>
      <w:r w:rsidRPr="00C9411C">
        <w:rPr>
          <w:rFonts w:ascii="Times New Roman" w:hAnsi="Times New Roman" w:cs="Times New Roman"/>
          <w:sz w:val="24"/>
          <w:szCs w:val="24"/>
          <w:vertAlign w:val="superscript"/>
        </w:rPr>
        <w:t>©</w:t>
      </w:r>
      <w:r w:rsidRPr="00C9411C">
        <w:rPr>
          <w:rFonts w:ascii="Times New Roman" w:hAnsi="Times New Roman" w:cs="Times New Roman"/>
          <w:sz w:val="24"/>
          <w:szCs w:val="24"/>
        </w:rPr>
        <w:t xml:space="preserve"> framework, as well as the Total Function Score (TSF). This report covers </w:t>
      </w:r>
      <w:r w:rsidR="005A323A">
        <w:rPr>
          <w:rFonts w:ascii="Times New Roman" w:hAnsi="Times New Roman" w:cs="Times New Roman"/>
          <w:sz w:val="24"/>
          <w:szCs w:val="24"/>
        </w:rPr>
        <w:t>the school version (grades 3 - 12)</w:t>
      </w:r>
      <w:r w:rsidRPr="00C9411C">
        <w:rPr>
          <w:rFonts w:ascii="Times New Roman" w:hAnsi="Times New Roman" w:cs="Times New Roman"/>
          <w:sz w:val="24"/>
          <w:szCs w:val="24"/>
        </w:rPr>
        <w:t xml:space="preserve">. </w:t>
      </w:r>
      <w:r w:rsidR="009C2B34">
        <w:rPr>
          <w:rFonts w:ascii="Times New Roman" w:hAnsi="Times New Roman" w:cs="Times New Roman"/>
          <w:sz w:val="24"/>
          <w:szCs w:val="24"/>
        </w:rPr>
        <w:t>A detailed report is available by contacting Terrace Metrics (</w:t>
      </w:r>
      <w:hyperlink r:id="rId8" w:history="1">
        <w:r w:rsidR="009C2B34" w:rsidRPr="000F5ECB">
          <w:rPr>
            <w:rStyle w:val="Hyperlink"/>
            <w:rFonts w:ascii="Times New Roman" w:hAnsi="Times New Roman" w:cs="Times New Roman"/>
            <w:sz w:val="24"/>
            <w:szCs w:val="24"/>
          </w:rPr>
          <w:t>info@terracemetrics.org</w:t>
        </w:r>
      </w:hyperlink>
      <w:r w:rsidR="009C2B34">
        <w:rPr>
          <w:rFonts w:ascii="Times New Roman" w:hAnsi="Times New Roman" w:cs="Times New Roman"/>
          <w:sz w:val="24"/>
          <w:szCs w:val="24"/>
        </w:rPr>
        <w:t xml:space="preserve">; 1-800-470-4401). </w:t>
      </w:r>
    </w:p>
    <w:p w14:paraId="2A59D6EB" w14:textId="5396B5E2" w:rsidR="00C9411C" w:rsidRDefault="00C9411C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ADD5A" w14:textId="7754418F" w:rsidR="003D1608" w:rsidRPr="003D1608" w:rsidRDefault="003D1608" w:rsidP="003D160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1608">
        <w:rPr>
          <w:rFonts w:ascii="Times New Roman" w:hAnsi="Times New Roman" w:cs="Times New Roman"/>
          <w:b/>
          <w:i/>
          <w:iCs/>
          <w:sz w:val="24"/>
          <w:szCs w:val="24"/>
        </w:rPr>
        <w:t>Terrace Metrics Indicators</w:t>
      </w:r>
    </w:p>
    <w:p w14:paraId="02DEEF1C" w14:textId="4E5A7F31" w:rsidR="009F761C" w:rsidRDefault="00B50BDC" w:rsidP="009F7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BDC">
        <w:rPr>
          <w:rFonts w:ascii="Times New Roman" w:eastAsia="Calibri" w:hAnsi="Times New Roman" w:cs="Times New Roman"/>
          <w:sz w:val="24"/>
          <w:szCs w:val="24"/>
        </w:rPr>
        <w:t>Terrace Metrics incorporates the</w:t>
      </w:r>
      <w:r w:rsidR="009C2B34">
        <w:rPr>
          <w:rFonts w:ascii="Times New Roman" w:eastAsia="Calibri" w:hAnsi="Times New Roman" w:cs="Times New Roman"/>
          <w:sz w:val="24"/>
          <w:szCs w:val="24"/>
        </w:rPr>
        <w:t xml:space="preserve"> following</w:t>
      </w:r>
      <w:r w:rsidRPr="00B50BDC">
        <w:rPr>
          <w:rFonts w:ascii="Times New Roman" w:eastAsia="Calibri" w:hAnsi="Times New Roman" w:cs="Times New Roman"/>
          <w:sz w:val="24"/>
          <w:szCs w:val="24"/>
        </w:rPr>
        <w:t xml:space="preserve"> indicators</w:t>
      </w:r>
      <w:r w:rsidR="009F761C">
        <w:rPr>
          <w:rFonts w:ascii="Times New Roman" w:eastAsia="Calibri" w:hAnsi="Times New Roman" w:cs="Times New Roman"/>
          <w:sz w:val="24"/>
          <w:szCs w:val="24"/>
        </w:rPr>
        <w:t>, which are determined by districts/schools based on</w:t>
      </w:r>
      <w:r w:rsidR="009F761C">
        <w:rPr>
          <w:rFonts w:ascii="Times New Roman" w:hAnsi="Times New Roman"/>
          <w:sz w:val="24"/>
          <w:szCs w:val="24"/>
        </w:rPr>
        <w:t xml:space="preserve"> grade level (see Table below: although out-of-grade level indicators can be chosen) and needs of the school/school district. </w:t>
      </w:r>
    </w:p>
    <w:p w14:paraId="403953A9" w14:textId="3D87A4CB" w:rsidR="00C94E86" w:rsidRDefault="00C94E86" w:rsidP="009C2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9CF893" w14:textId="70AD59A3" w:rsidR="00C94E86" w:rsidRPr="00EF303F" w:rsidRDefault="00C94E86" w:rsidP="00C94E8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303F">
        <w:rPr>
          <w:rFonts w:ascii="Times New Roman" w:eastAsia="Calibri" w:hAnsi="Times New Roman" w:cs="Times New Roman"/>
          <w:b/>
          <w:bCs/>
          <w:sz w:val="28"/>
          <w:szCs w:val="28"/>
        </w:rPr>
        <w:t>Risk, Res</w:t>
      </w:r>
      <w:r w:rsidR="00FE060F" w:rsidRPr="00EF303F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EF303F">
        <w:rPr>
          <w:rFonts w:ascii="Times New Roman" w:eastAsia="Calibri" w:hAnsi="Times New Roman" w:cs="Times New Roman"/>
          <w:b/>
          <w:bCs/>
          <w:sz w:val="28"/>
          <w:szCs w:val="28"/>
        </w:rPr>
        <w:t>lienc</w:t>
      </w:r>
      <w:r w:rsidR="00FE060F" w:rsidRPr="00EF303F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EF303F">
        <w:rPr>
          <w:rFonts w:ascii="Times New Roman" w:eastAsia="Calibri" w:hAnsi="Times New Roman" w:cs="Times New Roman"/>
          <w:b/>
          <w:bCs/>
          <w:sz w:val="28"/>
          <w:szCs w:val="28"/>
        </w:rPr>
        <w:t>, and Supplemental Indicators</w:t>
      </w:r>
    </w:p>
    <w:tbl>
      <w:tblPr>
        <w:tblStyle w:val="GridTable4-Accent11"/>
        <w:tblW w:w="5383" w:type="pct"/>
        <w:tblCellMar>
          <w:top w:w="14" w:type="dxa"/>
          <w:left w:w="101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3871"/>
        <w:gridCol w:w="6195"/>
      </w:tblGrid>
      <w:tr w:rsidR="009C2B34" w:rsidRPr="003D1608" w14:paraId="5B72685D" w14:textId="77777777" w:rsidTr="0028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6680BDE7" w14:textId="15AADDB2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</w:rPr>
            </w:pPr>
            <w:r>
              <w:rPr>
                <w:rFonts w:ascii="Avenir Roman" w:eastAsia="Arial" w:hAnsi="Avenir Roman" w:cs="Times New Roman"/>
              </w:rPr>
              <w:t xml:space="preserve">Resiliency </w:t>
            </w:r>
            <w:r w:rsidRPr="003D1608">
              <w:rPr>
                <w:rFonts w:ascii="Avenir Roman" w:eastAsia="Arial" w:hAnsi="Avenir Roman" w:cs="Times New Roman"/>
              </w:rPr>
              <w:t>Indicator</w:t>
            </w:r>
            <w:r>
              <w:rPr>
                <w:rFonts w:ascii="Avenir Roman" w:eastAsia="Arial" w:hAnsi="Avenir Roman" w:cs="Times New Roman"/>
              </w:rPr>
              <w:t>s</w:t>
            </w:r>
          </w:p>
        </w:tc>
        <w:tc>
          <w:tcPr>
            <w:tcW w:w="3077" w:type="pct"/>
            <w:vAlign w:val="center"/>
          </w:tcPr>
          <w:p w14:paraId="54730422" w14:textId="77777777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</w:rPr>
            </w:pPr>
            <w:r w:rsidRPr="003D1608">
              <w:rPr>
                <w:rFonts w:ascii="Avenir Roman" w:eastAsia="Arial" w:hAnsi="Avenir Roman" w:cs="Times New Roman"/>
              </w:rPr>
              <w:t>Interpretation</w:t>
            </w:r>
          </w:p>
        </w:tc>
      </w:tr>
      <w:tr w:rsidR="009C2B34" w:rsidRPr="003D1608" w14:paraId="2FC56961" w14:textId="77777777" w:rsidTr="0028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4F1A93B9" w14:textId="479EF254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Global Satisfaction</w:t>
            </w:r>
            <w:r w:rsidRPr="00574FCB">
              <w:rPr>
                <w:rFonts w:ascii="Avenir Roman" w:eastAsia="Arial" w:hAnsi="Avenir Roman" w:cs="Times New Roman"/>
                <w:color w:val="323232"/>
                <w:vertAlign w:val="superscript"/>
              </w:rPr>
              <w:t>1</w:t>
            </w:r>
          </w:p>
        </w:tc>
        <w:tc>
          <w:tcPr>
            <w:tcW w:w="3077" w:type="pct"/>
            <w:vAlign w:val="center"/>
          </w:tcPr>
          <w:p w14:paraId="1A224533" w14:textId="77777777" w:rsidR="009C2B34" w:rsidRPr="003D1608" w:rsidRDefault="009C2B34" w:rsidP="003D1608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Higher Levels of Positive Life Outlook</w:t>
            </w:r>
          </w:p>
        </w:tc>
      </w:tr>
      <w:tr w:rsidR="009C2B34" w:rsidRPr="003D1608" w14:paraId="23F4231F" w14:textId="77777777" w:rsidTr="0028264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43687C63" w14:textId="7FA4DD1A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Positive School Experiences</w:t>
            </w:r>
            <w:r w:rsidRPr="00574FCB">
              <w:rPr>
                <w:rFonts w:ascii="Avenir Roman" w:eastAsia="Arial" w:hAnsi="Avenir Roman" w:cs="Times New Roman"/>
                <w:color w:val="323232"/>
                <w:vertAlign w:val="superscript"/>
              </w:rPr>
              <w:t>1</w:t>
            </w:r>
          </w:p>
        </w:tc>
        <w:tc>
          <w:tcPr>
            <w:tcW w:w="3077" w:type="pct"/>
            <w:vAlign w:val="center"/>
          </w:tcPr>
          <w:p w14:paraId="51577A1A" w14:textId="77777777" w:rsidR="009C2B34" w:rsidRPr="003D1608" w:rsidRDefault="009C2B34" w:rsidP="003D16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Higher Levels of Positive Experiences with Teachers and Overall School Engagement</w:t>
            </w:r>
          </w:p>
        </w:tc>
      </w:tr>
      <w:tr w:rsidR="009C2B34" w:rsidRPr="003D1608" w14:paraId="6A73792E" w14:textId="77777777" w:rsidTr="0028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67F41069" w14:textId="1C1EE604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Hope</w:t>
            </w:r>
            <w:r w:rsidRPr="00574FCB">
              <w:rPr>
                <w:rFonts w:ascii="Avenir Roman" w:eastAsia="Arial" w:hAnsi="Avenir Roman" w:cs="Times New Roman"/>
                <w:color w:val="323232"/>
                <w:vertAlign w:val="superscript"/>
              </w:rPr>
              <w:t>1</w:t>
            </w:r>
          </w:p>
        </w:tc>
        <w:tc>
          <w:tcPr>
            <w:tcW w:w="3077" w:type="pct"/>
            <w:vAlign w:val="center"/>
          </w:tcPr>
          <w:p w14:paraId="2AA72CEE" w14:textId="77777777" w:rsidR="009C2B34" w:rsidRPr="003D1608" w:rsidRDefault="009C2B34" w:rsidP="003D1608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Higher Levels of Goal-Directed Behavior and Motivation</w:t>
            </w:r>
          </w:p>
        </w:tc>
      </w:tr>
      <w:tr w:rsidR="009C2B34" w:rsidRPr="003D1608" w14:paraId="2C3836E4" w14:textId="77777777" w:rsidTr="0028264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6AFCC7EE" w14:textId="77777777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Grit</w:t>
            </w:r>
          </w:p>
        </w:tc>
        <w:tc>
          <w:tcPr>
            <w:tcW w:w="3077" w:type="pct"/>
            <w:vAlign w:val="center"/>
          </w:tcPr>
          <w:p w14:paraId="6B4409C8" w14:textId="77777777" w:rsidR="009C2B34" w:rsidRPr="003D1608" w:rsidRDefault="009C2B34" w:rsidP="003D16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Greater Tenacity to Achieve a Goal</w:t>
            </w:r>
          </w:p>
        </w:tc>
      </w:tr>
      <w:tr w:rsidR="009C2B34" w:rsidRPr="003D1608" w14:paraId="1A1801F4" w14:textId="77777777" w:rsidTr="0028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039E9EC6" w14:textId="77777777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Resiliency</w:t>
            </w:r>
          </w:p>
        </w:tc>
        <w:tc>
          <w:tcPr>
            <w:tcW w:w="3077" w:type="pct"/>
            <w:vAlign w:val="center"/>
          </w:tcPr>
          <w:p w14:paraId="3468231E" w14:textId="77777777" w:rsidR="009C2B34" w:rsidRPr="003D1608" w:rsidRDefault="009C2B34" w:rsidP="003D1608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More External Resources to Overcome Adversity</w:t>
            </w:r>
          </w:p>
        </w:tc>
      </w:tr>
      <w:tr w:rsidR="009C2B34" w:rsidRPr="003D1608" w14:paraId="7D63F77C" w14:textId="77777777" w:rsidTr="0028264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260FAF21" w14:textId="77777777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Standards</w:t>
            </w:r>
          </w:p>
        </w:tc>
        <w:tc>
          <w:tcPr>
            <w:tcW w:w="3077" w:type="pct"/>
            <w:vAlign w:val="center"/>
          </w:tcPr>
          <w:p w14:paraId="1B008110" w14:textId="77777777" w:rsidR="009C2B34" w:rsidRPr="003D1608" w:rsidRDefault="009C2B34" w:rsidP="003D1608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67867D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Higher Expectations of Personal Abilities</w:t>
            </w:r>
          </w:p>
        </w:tc>
      </w:tr>
      <w:tr w:rsidR="009C2B34" w:rsidRPr="003D1608" w14:paraId="7BCF38F1" w14:textId="77777777" w:rsidTr="0028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pct"/>
            <w:vAlign w:val="center"/>
          </w:tcPr>
          <w:p w14:paraId="7F1A447B" w14:textId="77777777" w:rsidR="009C2B34" w:rsidRPr="003D1608" w:rsidRDefault="009C2B34" w:rsidP="003D1608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Leadership</w:t>
            </w:r>
          </w:p>
        </w:tc>
        <w:tc>
          <w:tcPr>
            <w:tcW w:w="3077" w:type="pct"/>
            <w:vAlign w:val="center"/>
          </w:tcPr>
          <w:p w14:paraId="438C636E" w14:textId="77777777" w:rsidR="009C2B34" w:rsidRPr="003D1608" w:rsidRDefault="009C2B34" w:rsidP="003D1608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color w:val="D47311"/>
              </w:rPr>
            </w:pPr>
            <w:r w:rsidRPr="003D1608">
              <w:rPr>
                <w:rFonts w:ascii="Avenir Roman" w:eastAsia="Arial" w:hAnsi="Avenir Roman" w:cs="Times New Roman"/>
                <w:color w:val="323232"/>
              </w:rPr>
              <w:t>Higher Scores = Greater Confidence to Influence Others</w:t>
            </w:r>
          </w:p>
        </w:tc>
      </w:tr>
    </w:tbl>
    <w:p w14:paraId="7170E911" w14:textId="18302EA9" w:rsidR="003D1608" w:rsidRDefault="003D1608" w:rsidP="003D1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AD440" w14:textId="77777777" w:rsidR="0028264D" w:rsidRDefault="0028264D" w:rsidP="003D1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dTable4-Accent12"/>
        <w:tblW w:w="5578" w:type="pct"/>
        <w:tblCellMar>
          <w:top w:w="14" w:type="dxa"/>
          <w:left w:w="101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3453"/>
        <w:gridCol w:w="6978"/>
      </w:tblGrid>
      <w:tr w:rsidR="009C2B34" w:rsidRPr="00887365" w14:paraId="1039115B" w14:textId="77777777" w:rsidTr="00DC7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Align w:val="center"/>
          </w:tcPr>
          <w:p w14:paraId="5C694D77" w14:textId="5774AE35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</w:rPr>
            </w:pPr>
            <w:bookmarkStart w:id="0" w:name="_Hlk534115352"/>
            <w:r>
              <w:rPr>
                <w:rFonts w:ascii="Avenir Roman" w:eastAsia="Arial" w:hAnsi="Avenir Roman" w:cs="Times New Roman"/>
              </w:rPr>
              <w:t>Risk Indicators</w:t>
            </w:r>
          </w:p>
        </w:tc>
        <w:tc>
          <w:tcPr>
            <w:tcW w:w="3345" w:type="pct"/>
            <w:vAlign w:val="center"/>
          </w:tcPr>
          <w:p w14:paraId="78CA9EC0" w14:textId="77777777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</w:rPr>
            </w:pPr>
            <w:r w:rsidRPr="00887365">
              <w:rPr>
                <w:rFonts w:ascii="Avenir Roman" w:eastAsia="Arial" w:hAnsi="Avenir Roman" w:cs="Times New Roman"/>
              </w:rPr>
              <w:t>Interpretation</w:t>
            </w:r>
          </w:p>
        </w:tc>
      </w:tr>
      <w:tr w:rsidR="009C2B34" w:rsidRPr="00887365" w14:paraId="02AE9ABE" w14:textId="77777777" w:rsidTr="00DC7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Align w:val="center"/>
          </w:tcPr>
          <w:p w14:paraId="785B8F38" w14:textId="6A7F7E8A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>Ostracism</w:t>
            </w:r>
            <w:r w:rsidRPr="00574FCB">
              <w:rPr>
                <w:rFonts w:ascii="Avenir Roman" w:eastAsia="Arial" w:hAnsi="Avenir Roman" w:cs="Times New Roman"/>
                <w:color w:val="323232"/>
                <w:vertAlign w:val="superscript"/>
              </w:rPr>
              <w:t>1</w:t>
            </w:r>
          </w:p>
          <w:p w14:paraId="6B925C44" w14:textId="77777777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</w:p>
        </w:tc>
        <w:tc>
          <w:tcPr>
            <w:tcW w:w="3345" w:type="pct"/>
            <w:vAlign w:val="center"/>
          </w:tcPr>
          <w:p w14:paraId="3F60E143" w14:textId="4DC995BA" w:rsidR="009C2B34" w:rsidRPr="00887365" w:rsidRDefault="009C2B34" w:rsidP="0088736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 xml:space="preserve">Higher Scores = Higher Levels of </w:t>
            </w:r>
            <w:r>
              <w:rPr>
                <w:rFonts w:ascii="Avenir Roman" w:eastAsia="Arial" w:hAnsi="Avenir Roman" w:cs="Times New Roman"/>
                <w:color w:val="323232"/>
              </w:rPr>
              <w:t xml:space="preserve">Perceived </w:t>
            </w:r>
            <w:r w:rsidRPr="00887365">
              <w:rPr>
                <w:rFonts w:ascii="Avenir Roman" w:eastAsia="Arial" w:hAnsi="Avenir Roman" w:cs="Times New Roman"/>
                <w:color w:val="323232"/>
              </w:rPr>
              <w:t>Isolation</w:t>
            </w:r>
          </w:p>
        </w:tc>
      </w:tr>
      <w:tr w:rsidR="009C2B34" w:rsidRPr="00887365" w14:paraId="5FAD6F87" w14:textId="77777777" w:rsidTr="00DC7689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Align w:val="center"/>
          </w:tcPr>
          <w:p w14:paraId="7F7309F7" w14:textId="77777777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000000"/>
              </w:rPr>
            </w:pPr>
            <w:r w:rsidRPr="00887365">
              <w:rPr>
                <w:rFonts w:ascii="Avenir Roman" w:eastAsia="Arial" w:hAnsi="Avenir Roman" w:cs="Times New Roman"/>
                <w:color w:val="000000"/>
              </w:rPr>
              <w:t>Anxiety</w:t>
            </w:r>
          </w:p>
        </w:tc>
        <w:tc>
          <w:tcPr>
            <w:tcW w:w="3345" w:type="pct"/>
            <w:vAlign w:val="center"/>
          </w:tcPr>
          <w:p w14:paraId="3FF2C647" w14:textId="0391482B" w:rsidR="009C2B34" w:rsidRPr="00887365" w:rsidRDefault="009C2B34" w:rsidP="00887365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 xml:space="preserve">Higher Scores = Higher Levels </w:t>
            </w:r>
            <w:r>
              <w:rPr>
                <w:rFonts w:ascii="Avenir Roman" w:eastAsia="Arial" w:hAnsi="Avenir Roman" w:cs="Times New Roman"/>
                <w:color w:val="323232"/>
              </w:rPr>
              <w:t xml:space="preserve">of </w:t>
            </w:r>
            <w:r w:rsidRPr="00887365">
              <w:rPr>
                <w:rFonts w:ascii="Avenir Roman" w:eastAsia="Arial" w:hAnsi="Avenir Roman" w:cs="Times New Roman"/>
                <w:color w:val="323232"/>
              </w:rPr>
              <w:t>Anxiety</w:t>
            </w:r>
            <w:r>
              <w:rPr>
                <w:rFonts w:ascii="Avenir Roman" w:eastAsia="Arial" w:hAnsi="Avenir Roman" w:cs="Times New Roman"/>
                <w:color w:val="323232"/>
              </w:rPr>
              <w:t xml:space="preserve"> Symptoms</w:t>
            </w:r>
          </w:p>
        </w:tc>
      </w:tr>
      <w:tr w:rsidR="009C2B34" w:rsidRPr="00887365" w14:paraId="691CD2CB" w14:textId="77777777" w:rsidTr="00DC7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Align w:val="center"/>
          </w:tcPr>
          <w:p w14:paraId="1B9C70CD" w14:textId="77777777" w:rsidR="009C2B34" w:rsidRPr="00887365" w:rsidRDefault="009C2B34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000000"/>
              </w:rPr>
            </w:pPr>
            <w:r w:rsidRPr="00887365">
              <w:rPr>
                <w:rFonts w:ascii="Avenir Roman" w:eastAsia="Arial" w:hAnsi="Avenir Roman" w:cs="Times New Roman"/>
                <w:color w:val="000000"/>
              </w:rPr>
              <w:t>Depression</w:t>
            </w:r>
          </w:p>
        </w:tc>
        <w:tc>
          <w:tcPr>
            <w:tcW w:w="3345" w:type="pct"/>
            <w:vAlign w:val="center"/>
          </w:tcPr>
          <w:p w14:paraId="39901FB2" w14:textId="73533B85" w:rsidR="009C2B34" w:rsidRPr="00887365" w:rsidRDefault="009C2B34" w:rsidP="0088736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67867D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>Higher Scores = Higher Levels of Depression</w:t>
            </w:r>
            <w:r>
              <w:rPr>
                <w:rFonts w:ascii="Avenir Roman" w:eastAsia="Arial" w:hAnsi="Avenir Roman" w:cs="Times New Roman"/>
                <w:color w:val="323232"/>
              </w:rPr>
              <w:t xml:space="preserve"> Symptoms</w:t>
            </w:r>
          </w:p>
        </w:tc>
      </w:tr>
    </w:tbl>
    <w:tbl>
      <w:tblPr>
        <w:tblStyle w:val="GridTable4-Accent13"/>
        <w:tblW w:w="5509" w:type="pct"/>
        <w:tblCellMar>
          <w:top w:w="14" w:type="dxa"/>
          <w:left w:w="101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3408"/>
        <w:gridCol w:w="6894"/>
      </w:tblGrid>
      <w:tr w:rsidR="00887365" w:rsidRPr="00887365" w14:paraId="0E3A5D9E" w14:textId="77777777" w:rsidTr="00C31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vAlign w:val="center"/>
          </w:tcPr>
          <w:p w14:paraId="01CAFEC7" w14:textId="1083AD9B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</w:rPr>
            </w:pPr>
            <w:bookmarkStart w:id="1" w:name="_Hlk25479550"/>
            <w:bookmarkEnd w:id="0"/>
            <w:r w:rsidRPr="00C31086">
              <w:rPr>
                <w:rFonts w:ascii="Avenir Roman" w:eastAsia="Arial" w:hAnsi="Avenir Roman" w:cs="Times New Roman"/>
                <w:sz w:val="36"/>
                <w:szCs w:val="36"/>
              </w:rPr>
              <w:lastRenderedPageBreak/>
              <w:t>Supplemental</w:t>
            </w:r>
            <w:r>
              <w:rPr>
                <w:rFonts w:ascii="Avenir Roman" w:eastAsia="Arial" w:hAnsi="Avenir Roman" w:cs="Times New Roman"/>
              </w:rPr>
              <w:t xml:space="preserve"> Indicators*</w:t>
            </w:r>
          </w:p>
        </w:tc>
        <w:tc>
          <w:tcPr>
            <w:tcW w:w="3346" w:type="pct"/>
            <w:vAlign w:val="center"/>
          </w:tcPr>
          <w:p w14:paraId="1E93268B" w14:textId="77777777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</w:rPr>
            </w:pPr>
            <w:r w:rsidRPr="00887365">
              <w:rPr>
                <w:rFonts w:ascii="Avenir Roman" w:eastAsia="Arial" w:hAnsi="Avenir Roman" w:cs="Times New Roman"/>
              </w:rPr>
              <w:t>Interpretation</w:t>
            </w:r>
          </w:p>
        </w:tc>
      </w:tr>
      <w:tr w:rsidR="00887365" w:rsidRPr="00887365" w14:paraId="0D29E3E3" w14:textId="77777777" w:rsidTr="00C3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vAlign w:val="center"/>
          </w:tcPr>
          <w:p w14:paraId="702635EF" w14:textId="2099E16D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  <w:r>
              <w:rPr>
                <w:rFonts w:ascii="Avenir Roman" w:eastAsia="Arial" w:hAnsi="Avenir Roman" w:cs="Times New Roman"/>
                <w:color w:val="323232"/>
              </w:rPr>
              <w:t>Trauma</w:t>
            </w:r>
          </w:p>
          <w:p w14:paraId="04F0133B" w14:textId="77777777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323232"/>
              </w:rPr>
            </w:pPr>
          </w:p>
        </w:tc>
        <w:tc>
          <w:tcPr>
            <w:tcW w:w="3346" w:type="pct"/>
            <w:vAlign w:val="center"/>
          </w:tcPr>
          <w:p w14:paraId="290DB01C" w14:textId="1C02485C" w:rsidR="00887365" w:rsidRPr="00887365" w:rsidRDefault="00887365" w:rsidP="0088736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>
              <w:rPr>
                <w:rFonts w:ascii="Avenir Roman" w:eastAsia="Arial" w:hAnsi="Avenir Roman" w:cs="Times New Roman"/>
                <w:color w:val="323232"/>
              </w:rPr>
              <w:t>At Risk</w:t>
            </w:r>
            <w:r w:rsidRPr="00887365">
              <w:rPr>
                <w:rFonts w:ascii="Avenir Roman" w:eastAsia="Arial" w:hAnsi="Avenir Roman" w:cs="Times New Roman"/>
                <w:color w:val="323232"/>
              </w:rPr>
              <w:t xml:space="preserve"> = </w:t>
            </w:r>
            <w:r>
              <w:rPr>
                <w:rFonts w:ascii="Avenir Roman" w:eastAsia="Arial" w:hAnsi="Avenir Roman" w:cs="Times New Roman"/>
                <w:color w:val="323232"/>
              </w:rPr>
              <w:t>High Level of Distress Regarding a Previous Trauma (which is not specified)</w:t>
            </w:r>
          </w:p>
        </w:tc>
      </w:tr>
      <w:tr w:rsidR="00887365" w:rsidRPr="00887365" w14:paraId="7746BF68" w14:textId="77777777" w:rsidTr="00C3108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vAlign w:val="center"/>
          </w:tcPr>
          <w:p w14:paraId="1B183A68" w14:textId="6D61F117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000000"/>
              </w:rPr>
            </w:pPr>
            <w:r>
              <w:rPr>
                <w:rFonts w:ascii="Avenir Roman" w:eastAsia="Arial" w:hAnsi="Avenir Roman" w:cs="Times New Roman"/>
                <w:color w:val="000000"/>
              </w:rPr>
              <w:t>Drug/Alcohol</w:t>
            </w:r>
          </w:p>
        </w:tc>
        <w:tc>
          <w:tcPr>
            <w:tcW w:w="3346" w:type="pct"/>
            <w:vAlign w:val="center"/>
          </w:tcPr>
          <w:p w14:paraId="75EF4569" w14:textId="107DFCA5" w:rsidR="00887365" w:rsidRPr="00887365" w:rsidRDefault="00887365" w:rsidP="00887365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D47311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 xml:space="preserve">Higher Scores = </w:t>
            </w:r>
            <w:r>
              <w:rPr>
                <w:rFonts w:ascii="Avenir Roman" w:eastAsia="Arial" w:hAnsi="Avenir Roman" w:cs="Times New Roman"/>
                <w:color w:val="323232"/>
              </w:rPr>
              <w:t>Degree of Distress Around Drug/Alcohol Behaviors</w:t>
            </w:r>
          </w:p>
        </w:tc>
      </w:tr>
      <w:tr w:rsidR="00887365" w:rsidRPr="00887365" w14:paraId="34D1BAFC" w14:textId="77777777" w:rsidTr="00C3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vAlign w:val="center"/>
          </w:tcPr>
          <w:p w14:paraId="7029F921" w14:textId="4BC26124" w:rsidR="00887365" w:rsidRPr="00887365" w:rsidRDefault="00887365" w:rsidP="00887365">
            <w:pPr>
              <w:autoSpaceDE w:val="0"/>
              <w:autoSpaceDN w:val="0"/>
              <w:adjustRightInd w:val="0"/>
              <w:jc w:val="center"/>
              <w:rPr>
                <w:rFonts w:ascii="Avenir Roman" w:eastAsia="Arial" w:hAnsi="Avenir Roman" w:cs="Times New Roman"/>
                <w:color w:val="000000"/>
              </w:rPr>
            </w:pPr>
            <w:r>
              <w:rPr>
                <w:rFonts w:ascii="Avenir Roman" w:eastAsia="Arial" w:hAnsi="Avenir Roman" w:cs="Times New Roman"/>
                <w:color w:val="000000"/>
              </w:rPr>
              <w:t>School Violence</w:t>
            </w:r>
          </w:p>
        </w:tc>
        <w:tc>
          <w:tcPr>
            <w:tcW w:w="3346" w:type="pct"/>
            <w:vAlign w:val="center"/>
          </w:tcPr>
          <w:p w14:paraId="2A55B371" w14:textId="5AE2A6EE" w:rsidR="00887365" w:rsidRPr="00887365" w:rsidRDefault="00887365" w:rsidP="00887365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Roman" w:eastAsia="Arial" w:hAnsi="Avenir Roman" w:cs="Times New Roman"/>
                <w:b/>
                <w:color w:val="67867D"/>
              </w:rPr>
            </w:pPr>
            <w:r w:rsidRPr="00887365">
              <w:rPr>
                <w:rFonts w:ascii="Avenir Roman" w:eastAsia="Arial" w:hAnsi="Avenir Roman" w:cs="Times New Roman"/>
                <w:color w:val="323232"/>
              </w:rPr>
              <w:t xml:space="preserve">Higher Scores = </w:t>
            </w:r>
            <w:r>
              <w:rPr>
                <w:rFonts w:ascii="Avenir Roman" w:eastAsia="Arial" w:hAnsi="Avenir Roman" w:cs="Times New Roman"/>
                <w:color w:val="323232"/>
              </w:rPr>
              <w:t>Higher Tendency to Use Violence to Solve Problems at School</w:t>
            </w:r>
          </w:p>
        </w:tc>
      </w:tr>
    </w:tbl>
    <w:p w14:paraId="43142EA8" w14:textId="784EB96C" w:rsidR="00574FCB" w:rsidRPr="00574FCB" w:rsidRDefault="00574FCB" w:rsidP="003D1608">
      <w:pPr>
        <w:spacing w:after="0" w:line="240" w:lineRule="auto"/>
        <w:rPr>
          <w:rFonts w:ascii="Avenir Roman" w:eastAsia="Arial" w:hAnsi="Avenir Roman" w:cs="Times New Roman"/>
          <w:color w:val="323232"/>
        </w:rPr>
      </w:pPr>
      <w:r w:rsidRPr="00574FCB">
        <w:rPr>
          <w:rFonts w:ascii="Avenir Roman" w:eastAsia="Arial" w:hAnsi="Avenir Roman" w:cs="Times New Roman"/>
          <w:color w:val="323232"/>
          <w:vertAlign w:val="superscript"/>
        </w:rPr>
        <w:t>1</w:t>
      </w:r>
      <w:r>
        <w:rPr>
          <w:rFonts w:ascii="Avenir Roman" w:eastAsia="Arial" w:hAnsi="Avenir Roman" w:cs="Times New Roman"/>
          <w:color w:val="323232"/>
        </w:rPr>
        <w:t>Indicators that are administered to grades 3-5</w:t>
      </w:r>
    </w:p>
    <w:p w14:paraId="2948A217" w14:textId="1766F2B7" w:rsidR="00887365" w:rsidRPr="00574FCB" w:rsidRDefault="00887365" w:rsidP="003D160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74FCB">
        <w:rPr>
          <w:rFonts w:ascii="Times New Roman" w:hAnsi="Times New Roman"/>
          <w:b/>
          <w:bCs/>
          <w:sz w:val="20"/>
          <w:szCs w:val="20"/>
        </w:rPr>
        <w:t xml:space="preserve">*Supplemental indicators are separate from the Core resiliency/risk indicators.  They are stand-alone and do not directly tie into the Terrace Metrics proprietary algorithm. </w:t>
      </w:r>
    </w:p>
    <w:p w14:paraId="329D6EA0" w14:textId="77777777" w:rsidR="009F761C" w:rsidRDefault="009F761C" w:rsidP="003D16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bookmarkEnd w:id="1"/>
    <w:p w14:paraId="2D71B8BB" w14:textId="77777777" w:rsidR="00AD6242" w:rsidRDefault="00AD6242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The Total Function Score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6DEB" w14:textId="1E111061" w:rsidR="00B50BDC" w:rsidRDefault="00B50BDC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BDC">
        <w:rPr>
          <w:rFonts w:ascii="Times New Roman" w:hAnsi="Times New Roman" w:cs="Times New Roman"/>
          <w:sz w:val="24"/>
          <w:szCs w:val="24"/>
        </w:rPr>
        <w:t>In addition to individual indicator data, Terrace Metrics also combines these indicators using a proprietary algorithm to compute a Total Function Score (TFS). The TFS is a fast, accurate, and easy</w:t>
      </w:r>
      <w:r w:rsidR="00D913B5">
        <w:rPr>
          <w:rFonts w:ascii="Times New Roman" w:hAnsi="Times New Roman" w:cs="Times New Roman"/>
          <w:sz w:val="24"/>
          <w:szCs w:val="24"/>
        </w:rPr>
        <w:t>-</w:t>
      </w:r>
      <w:r w:rsidRPr="00B50BDC">
        <w:rPr>
          <w:rFonts w:ascii="Times New Roman" w:hAnsi="Times New Roman" w:cs="Times New Roman"/>
          <w:sz w:val="24"/>
          <w:szCs w:val="24"/>
        </w:rPr>
        <w:t>to</w:t>
      </w:r>
      <w:r w:rsidR="00D913B5">
        <w:rPr>
          <w:rFonts w:ascii="Times New Roman" w:hAnsi="Times New Roman" w:cs="Times New Roman"/>
          <w:sz w:val="24"/>
          <w:szCs w:val="24"/>
        </w:rPr>
        <w:t>-</w:t>
      </w:r>
      <w:r w:rsidRPr="00B50BDC">
        <w:rPr>
          <w:rFonts w:ascii="Times New Roman" w:hAnsi="Times New Roman" w:cs="Times New Roman"/>
          <w:sz w:val="24"/>
          <w:szCs w:val="24"/>
        </w:rPr>
        <w:t xml:space="preserve">understand classification </w:t>
      </w:r>
      <w:r w:rsidR="00D913B5">
        <w:rPr>
          <w:rFonts w:ascii="Times New Roman" w:hAnsi="Times New Roman" w:cs="Times New Roman"/>
          <w:sz w:val="24"/>
          <w:szCs w:val="24"/>
        </w:rPr>
        <w:t xml:space="preserve">metric </w:t>
      </w:r>
      <w:r w:rsidRPr="00B50BDC">
        <w:rPr>
          <w:rFonts w:ascii="Times New Roman" w:hAnsi="Times New Roman" w:cs="Times New Roman"/>
          <w:sz w:val="24"/>
          <w:szCs w:val="24"/>
        </w:rPr>
        <w:t>that best captures a student’s overall behavioral health</w:t>
      </w:r>
      <w:r w:rsidR="009F761C">
        <w:rPr>
          <w:rFonts w:ascii="Times New Roman" w:hAnsi="Times New Roman" w:cs="Times New Roman"/>
          <w:sz w:val="24"/>
          <w:szCs w:val="24"/>
        </w:rPr>
        <w:t xml:space="preserve"> status</w:t>
      </w:r>
      <w:r w:rsidRPr="00B50BDC">
        <w:rPr>
          <w:rFonts w:ascii="Times New Roman" w:hAnsi="Times New Roman" w:cs="Times New Roman"/>
          <w:sz w:val="24"/>
          <w:szCs w:val="24"/>
        </w:rPr>
        <w:t>.</w:t>
      </w:r>
    </w:p>
    <w:p w14:paraId="7D7C86E1" w14:textId="77777777" w:rsidR="00DC7689" w:rsidRDefault="00DC7689" w:rsidP="009F76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177C472" w14:textId="2195737F" w:rsidR="00A731DC" w:rsidRPr="009F761C" w:rsidRDefault="00B50BDC" w:rsidP="009F76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50BD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Validation of the Terrace Metrics </w:t>
      </w:r>
      <w:r w:rsidR="00F94655">
        <w:rPr>
          <w:rFonts w:ascii="Times New Roman" w:hAnsi="Times New Roman" w:cs="Times New Roman"/>
          <w:b/>
          <w:bCs/>
          <w:i/>
          <w:iCs/>
          <w:sz w:val="36"/>
          <w:szCs w:val="36"/>
        </w:rPr>
        <w:t>Instrument</w:t>
      </w:r>
    </w:p>
    <w:p w14:paraId="2953F5D4" w14:textId="77777777" w:rsidR="00CC1A4F" w:rsidRPr="00A8052A" w:rsidRDefault="00CC1A4F" w:rsidP="00CC1A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0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Validation Sample</w:t>
      </w:r>
    </w:p>
    <w:p w14:paraId="1C4258BB" w14:textId="202DF2A4" w:rsidR="00A2302D" w:rsidRDefault="00DC7689" w:rsidP="00DF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a larger database, </w:t>
      </w:r>
      <w:r w:rsidR="00A2302D">
        <w:rPr>
          <w:rFonts w:ascii="Times New Roman" w:hAnsi="Times New Roman" w:cs="Times New Roman"/>
          <w:sz w:val="24"/>
          <w:szCs w:val="24"/>
        </w:rPr>
        <w:t xml:space="preserve">18,931 students from grades 3 – 12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A2302D">
        <w:rPr>
          <w:rFonts w:ascii="Times New Roman" w:hAnsi="Times New Roman" w:cs="Times New Roman"/>
          <w:sz w:val="24"/>
          <w:szCs w:val="24"/>
        </w:rPr>
        <w:t>completed the Terrace Metrics assessment in October 2017</w:t>
      </w:r>
      <w:r>
        <w:rPr>
          <w:rFonts w:ascii="Times New Roman" w:hAnsi="Times New Roman" w:cs="Times New Roman"/>
          <w:sz w:val="24"/>
          <w:szCs w:val="24"/>
        </w:rPr>
        <w:t xml:space="preserve"> were selected for this study</w:t>
      </w:r>
      <w:r w:rsidR="00A2302D">
        <w:rPr>
          <w:rFonts w:ascii="Times New Roman" w:hAnsi="Times New Roman" w:cs="Times New Roman"/>
          <w:sz w:val="24"/>
          <w:szCs w:val="24"/>
        </w:rPr>
        <w:t xml:space="preserve">. These students represented 4 school districts and 48 elementary schools (60% of total), middle schools (22%), and high schools (18%) across the Northern and Central regions of one Southeastern state. Ninety-four percent of the 2017 cohort again completed the assessment in September 2018. In addition, three districts/independent schools </w:t>
      </w:r>
      <w:r>
        <w:rPr>
          <w:rFonts w:ascii="Times New Roman" w:hAnsi="Times New Roman" w:cs="Times New Roman"/>
          <w:sz w:val="24"/>
          <w:szCs w:val="24"/>
        </w:rPr>
        <w:t xml:space="preserve">were chosen </w:t>
      </w:r>
      <w:r w:rsidR="00C31086">
        <w:rPr>
          <w:rFonts w:ascii="Times New Roman" w:hAnsi="Times New Roman" w:cs="Times New Roman"/>
          <w:sz w:val="24"/>
          <w:szCs w:val="24"/>
        </w:rPr>
        <w:t xml:space="preserve">given that they represented different states and locations. The 2018 sample consisted of </w:t>
      </w:r>
      <w:r w:rsidR="00A2302D">
        <w:rPr>
          <w:rFonts w:ascii="Times New Roman" w:hAnsi="Times New Roman" w:cs="Times New Roman"/>
          <w:sz w:val="24"/>
          <w:szCs w:val="24"/>
        </w:rPr>
        <w:t>19,984</w:t>
      </w:r>
      <w:r w:rsidR="00C31086">
        <w:rPr>
          <w:rFonts w:ascii="Times New Roman" w:hAnsi="Times New Roman" w:cs="Times New Roman"/>
          <w:sz w:val="24"/>
          <w:szCs w:val="24"/>
        </w:rPr>
        <w:t xml:space="preserve"> students</w:t>
      </w:r>
      <w:r w:rsidR="00A2302D">
        <w:rPr>
          <w:rFonts w:ascii="Times New Roman" w:hAnsi="Times New Roman" w:cs="Times New Roman"/>
          <w:sz w:val="24"/>
          <w:szCs w:val="24"/>
        </w:rPr>
        <w:t>. Gender was evenly distributed across both time frames and the ethnic cultural background reflected the communities in which the districts were embedded (78% Caucasian, 9% African-American, 6% Hispanic-American, 7% other ethnic backgrounds).</w:t>
      </w:r>
      <w:r w:rsidR="00534E27">
        <w:rPr>
          <w:rFonts w:ascii="Times New Roman" w:hAnsi="Times New Roman" w:cs="Times New Roman"/>
          <w:sz w:val="24"/>
          <w:szCs w:val="24"/>
        </w:rPr>
        <w:t xml:space="preserve"> Thirty-seven percent of students qualified for free/reduced lunch status, which was slightly lower than the national average of 51% (see </w:t>
      </w:r>
      <w:hyperlink r:id="rId9" w:history="1">
        <w:r w:rsidR="00534E27" w:rsidRPr="00534E27">
          <w:rPr>
            <w:rStyle w:val="Hyperlink"/>
            <w:rFonts w:ascii="Times New Roman" w:hAnsi="Times New Roman" w:cs="Times New Roman"/>
            <w:sz w:val="24"/>
            <w:szCs w:val="24"/>
          </w:rPr>
          <w:t>https://nces.ed.gov/programs/digest/d17/tables/dt17_204.10.asp</w:t>
        </w:r>
      </w:hyperlink>
      <w:r w:rsidR="00534E27">
        <w:rPr>
          <w:rFonts w:ascii="Times New Roman" w:hAnsi="Times New Roman" w:cs="Times New Roman"/>
          <w:sz w:val="24"/>
          <w:szCs w:val="24"/>
        </w:rPr>
        <w:t>).</w:t>
      </w:r>
    </w:p>
    <w:p w14:paraId="5B666D09" w14:textId="77777777" w:rsidR="00A2302D" w:rsidRDefault="00A2302D" w:rsidP="00DF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DF11B" w14:textId="177C0BEA" w:rsidR="00A8052A" w:rsidRDefault="00C97509" w:rsidP="00A8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Terrace Metrics </w:t>
      </w:r>
      <w:r w:rsidR="00F30B6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collects objective </w:t>
      </w:r>
      <w:r w:rsidR="00E13959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and behavioral data from schools </w:t>
      </w:r>
      <w:r w:rsidR="008210D5">
        <w:rPr>
          <w:rFonts w:ascii="Times New Roman" w:hAnsi="Times New Roman" w:cs="Times New Roman"/>
          <w:sz w:val="24"/>
          <w:szCs w:val="24"/>
        </w:rPr>
        <w:t xml:space="preserve">(who volunteer) </w:t>
      </w:r>
      <w:r>
        <w:rPr>
          <w:rFonts w:ascii="Times New Roman" w:hAnsi="Times New Roman" w:cs="Times New Roman"/>
          <w:sz w:val="24"/>
          <w:szCs w:val="24"/>
        </w:rPr>
        <w:t xml:space="preserve">every </w:t>
      </w:r>
      <w:r w:rsidR="007961B6">
        <w:rPr>
          <w:rFonts w:ascii="Times New Roman" w:hAnsi="Times New Roman" w:cs="Times New Roman"/>
          <w:sz w:val="24"/>
          <w:szCs w:val="24"/>
        </w:rPr>
        <w:t xml:space="preserve">1-2 </w:t>
      </w:r>
      <w:r>
        <w:rPr>
          <w:rFonts w:ascii="Times New Roman" w:hAnsi="Times New Roman" w:cs="Times New Roman"/>
          <w:sz w:val="24"/>
          <w:szCs w:val="24"/>
        </w:rPr>
        <w:t xml:space="preserve">two years. </w:t>
      </w:r>
      <w:r w:rsidR="007961B6">
        <w:rPr>
          <w:rFonts w:ascii="Times New Roman" w:hAnsi="Times New Roman" w:cs="Times New Roman"/>
          <w:sz w:val="24"/>
          <w:szCs w:val="24"/>
        </w:rPr>
        <w:t>Of th</w:t>
      </w:r>
      <w:r w:rsidR="00E13959">
        <w:rPr>
          <w:rFonts w:ascii="Times New Roman" w:hAnsi="Times New Roman" w:cs="Times New Roman"/>
          <w:sz w:val="24"/>
          <w:szCs w:val="24"/>
        </w:rPr>
        <w:t xml:space="preserve">e </w:t>
      </w:r>
      <w:r w:rsidR="00A8052A">
        <w:rPr>
          <w:rFonts w:ascii="Times New Roman" w:hAnsi="Times New Roman" w:cs="Times New Roman"/>
          <w:sz w:val="24"/>
          <w:szCs w:val="24"/>
        </w:rPr>
        <w:t>2017</w:t>
      </w:r>
      <w:r w:rsidR="007961B6">
        <w:rPr>
          <w:rFonts w:ascii="Times New Roman" w:hAnsi="Times New Roman" w:cs="Times New Roman"/>
          <w:sz w:val="24"/>
          <w:szCs w:val="24"/>
        </w:rPr>
        <w:t xml:space="preserve"> sample,</w:t>
      </w:r>
      <w:r w:rsidR="00A8052A">
        <w:rPr>
          <w:rFonts w:ascii="Times New Roman" w:hAnsi="Times New Roman" w:cs="Times New Roman"/>
          <w:sz w:val="24"/>
          <w:szCs w:val="24"/>
        </w:rPr>
        <w:t xml:space="preserve"> </w:t>
      </w:r>
      <w:r w:rsidR="00E9692A">
        <w:rPr>
          <w:rFonts w:ascii="Times New Roman" w:hAnsi="Times New Roman" w:cs="Times New Roman"/>
          <w:sz w:val="24"/>
          <w:szCs w:val="24"/>
        </w:rPr>
        <w:t xml:space="preserve">academic (unweighted GPA) and </w:t>
      </w:r>
      <w:r w:rsidR="00A8052A">
        <w:rPr>
          <w:rFonts w:ascii="Times New Roman" w:hAnsi="Times New Roman" w:cs="Times New Roman"/>
          <w:sz w:val="24"/>
          <w:szCs w:val="24"/>
        </w:rPr>
        <w:t>behavioral data (number of tardies, unexcused absences, office referrals</w:t>
      </w:r>
      <w:r w:rsidR="00E9692A">
        <w:rPr>
          <w:rFonts w:ascii="Times New Roman" w:hAnsi="Times New Roman" w:cs="Times New Roman"/>
          <w:sz w:val="24"/>
          <w:szCs w:val="24"/>
        </w:rPr>
        <w:t>, total days missed</w:t>
      </w:r>
      <w:r w:rsidR="00A8052A">
        <w:rPr>
          <w:rFonts w:ascii="Times New Roman" w:hAnsi="Times New Roman" w:cs="Times New Roman"/>
          <w:sz w:val="24"/>
          <w:szCs w:val="24"/>
        </w:rPr>
        <w:t xml:space="preserve">) were collected on </w:t>
      </w:r>
      <w:r w:rsidR="00F14251">
        <w:rPr>
          <w:rFonts w:ascii="Times New Roman" w:hAnsi="Times New Roman" w:cs="Times New Roman"/>
          <w:sz w:val="24"/>
          <w:szCs w:val="24"/>
        </w:rPr>
        <w:t>8,773</w:t>
      </w:r>
      <w:r w:rsidR="00A8052A">
        <w:rPr>
          <w:rFonts w:ascii="Times New Roman" w:hAnsi="Times New Roman" w:cs="Times New Roman"/>
          <w:sz w:val="24"/>
          <w:szCs w:val="24"/>
        </w:rPr>
        <w:t xml:space="preserve"> students.</w:t>
      </w:r>
      <w:r w:rsidR="00E022EF">
        <w:rPr>
          <w:rFonts w:ascii="Times New Roman" w:hAnsi="Times New Roman" w:cs="Times New Roman"/>
          <w:sz w:val="24"/>
          <w:szCs w:val="24"/>
        </w:rPr>
        <w:t xml:space="preserve"> Of the </w:t>
      </w:r>
      <w:r w:rsidR="00A8052A">
        <w:rPr>
          <w:rFonts w:ascii="Times New Roman" w:hAnsi="Times New Roman" w:cs="Times New Roman"/>
          <w:sz w:val="24"/>
          <w:szCs w:val="24"/>
        </w:rPr>
        <w:t>201</w:t>
      </w:r>
      <w:r w:rsidR="00941436">
        <w:rPr>
          <w:rFonts w:ascii="Times New Roman" w:hAnsi="Times New Roman" w:cs="Times New Roman"/>
          <w:sz w:val="24"/>
          <w:szCs w:val="24"/>
        </w:rPr>
        <w:t>8</w:t>
      </w:r>
      <w:r w:rsidR="00A8052A">
        <w:rPr>
          <w:rFonts w:ascii="Times New Roman" w:hAnsi="Times New Roman" w:cs="Times New Roman"/>
          <w:sz w:val="24"/>
          <w:szCs w:val="24"/>
        </w:rPr>
        <w:t xml:space="preserve"> sample, </w:t>
      </w:r>
      <w:r w:rsidR="00D41E02">
        <w:rPr>
          <w:rFonts w:ascii="Times New Roman" w:hAnsi="Times New Roman" w:cs="Times New Roman"/>
          <w:sz w:val="24"/>
          <w:szCs w:val="24"/>
        </w:rPr>
        <w:t xml:space="preserve">unweighted GPA was against collected as well as </w:t>
      </w:r>
      <w:r w:rsidR="00E9692A">
        <w:rPr>
          <w:rFonts w:ascii="Times New Roman" w:hAnsi="Times New Roman" w:cs="Times New Roman"/>
          <w:sz w:val="24"/>
          <w:szCs w:val="24"/>
        </w:rPr>
        <w:t xml:space="preserve">standardized test scores </w:t>
      </w:r>
      <w:r w:rsidR="00A8052A">
        <w:rPr>
          <w:rFonts w:ascii="Times New Roman" w:hAnsi="Times New Roman" w:cs="Times New Roman"/>
          <w:sz w:val="24"/>
          <w:szCs w:val="24"/>
        </w:rPr>
        <w:t xml:space="preserve">(SAT </w:t>
      </w:r>
      <w:r w:rsidR="00941436">
        <w:rPr>
          <w:rFonts w:ascii="Times New Roman" w:hAnsi="Times New Roman" w:cs="Times New Roman"/>
          <w:sz w:val="24"/>
          <w:szCs w:val="24"/>
        </w:rPr>
        <w:t xml:space="preserve">and ACT </w:t>
      </w:r>
      <w:r w:rsidR="00A8052A">
        <w:rPr>
          <w:rFonts w:ascii="Times New Roman" w:hAnsi="Times New Roman" w:cs="Times New Roman"/>
          <w:sz w:val="24"/>
          <w:szCs w:val="24"/>
        </w:rPr>
        <w:t xml:space="preserve">scores, MAP reading and math scores) on </w:t>
      </w:r>
      <w:r w:rsidR="003A7579">
        <w:rPr>
          <w:rFonts w:ascii="Times New Roman" w:hAnsi="Times New Roman" w:cs="Times New Roman"/>
          <w:sz w:val="24"/>
          <w:szCs w:val="24"/>
        </w:rPr>
        <w:t>5,643</w:t>
      </w:r>
      <w:r w:rsidR="00A8052A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18167F4D" w14:textId="321E7820" w:rsidR="00F30B6D" w:rsidRDefault="00F30B6D" w:rsidP="00A80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E2032" w14:textId="77777777" w:rsidR="00C31086" w:rsidRDefault="00C31086" w:rsidP="00A805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2D100A" w14:textId="46C908FA" w:rsidR="00C31086" w:rsidRPr="00C31086" w:rsidRDefault="00C31086" w:rsidP="00C31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31086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Results</w:t>
      </w:r>
    </w:p>
    <w:p w14:paraId="607EA088" w14:textId="77777777" w:rsidR="00C31086" w:rsidRDefault="00C31086" w:rsidP="00A805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F34495" w14:textId="71CCFFCF" w:rsidR="00F30B6D" w:rsidRPr="00F30B6D" w:rsidRDefault="00F30B6D" w:rsidP="00A805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Reliability Estimates</w:t>
      </w:r>
    </w:p>
    <w:p w14:paraId="4ACA9F3E" w14:textId="59860505" w:rsidR="00F30B6D" w:rsidRDefault="00F30B6D" w:rsidP="00F30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Reliability estimates for each indicator are above standards </w:t>
      </w:r>
      <w:r w:rsidR="00C31086">
        <w:rPr>
          <w:rFonts w:ascii="Times New Roman" w:hAnsi="Times New Roman" w:cs="Times New Roman"/>
          <w:sz w:val="24"/>
          <w:szCs w:val="24"/>
        </w:rPr>
        <w:t xml:space="preserve">typically </w:t>
      </w:r>
      <w:r>
        <w:rPr>
          <w:rFonts w:ascii="Times New Roman" w:hAnsi="Times New Roman" w:cs="Times New Roman"/>
          <w:sz w:val="24"/>
          <w:szCs w:val="24"/>
        </w:rPr>
        <w:t>set for research (</w:t>
      </w:r>
      <w:r w:rsidR="00534E27">
        <w:rPr>
          <w:rFonts w:ascii="Times New Roman" w:hAnsi="Times New Roman" w:cs="Times New Roman"/>
          <w:sz w:val="24"/>
          <w:szCs w:val="24"/>
        </w:rPr>
        <w:t xml:space="preserve">α = </w:t>
      </w:r>
      <w:r>
        <w:rPr>
          <w:rFonts w:ascii="Times New Roman" w:hAnsi="Times New Roman" w:cs="Times New Roman"/>
          <w:sz w:val="24"/>
          <w:szCs w:val="24"/>
        </w:rPr>
        <w:t>0.70) and/or clinical purposes (</w:t>
      </w:r>
      <w:r w:rsidR="00534E27">
        <w:rPr>
          <w:rFonts w:ascii="Times New Roman" w:hAnsi="Times New Roman" w:cs="Times New Roman"/>
          <w:sz w:val="24"/>
          <w:szCs w:val="24"/>
        </w:rPr>
        <w:t xml:space="preserve">α = </w:t>
      </w:r>
      <w:r>
        <w:rPr>
          <w:rFonts w:ascii="Times New Roman" w:hAnsi="Times New Roman" w:cs="Times New Roman"/>
          <w:sz w:val="24"/>
          <w:szCs w:val="24"/>
        </w:rPr>
        <w:t>0.80). Across both time frames, internal consistencies ranged from 0.75 to 0.94 at the high school level (grades 9 – 12) and from 0.73 to 0.95 at the middle school level (grades 6 – 8). Reliability estimates range</w:t>
      </w:r>
      <w:r w:rsidR="002826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from 0.76 to 0.86 at the elementary level (grades 3 5). These estimates were highly stab</w:t>
      </w:r>
      <w:r w:rsidR="00C3108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over a 1-year time frame</w:t>
      </w:r>
      <w:r w:rsidR="00C31086">
        <w:rPr>
          <w:rFonts w:ascii="Times New Roman" w:hAnsi="Times New Roman" w:cs="Times New Roman"/>
          <w:sz w:val="24"/>
          <w:szCs w:val="24"/>
        </w:rPr>
        <w:t xml:space="preserve">; differences in estimates </w:t>
      </w:r>
      <w:r w:rsidR="00300818">
        <w:rPr>
          <w:rFonts w:ascii="Times New Roman" w:hAnsi="Times New Roman" w:cs="Times New Roman"/>
          <w:sz w:val="24"/>
          <w:szCs w:val="24"/>
        </w:rPr>
        <w:t>did not vary</w:t>
      </w:r>
      <w:r w:rsidR="00C31086">
        <w:rPr>
          <w:rFonts w:ascii="Times New Roman" w:hAnsi="Times New Roman" w:cs="Times New Roman"/>
          <w:sz w:val="24"/>
          <w:szCs w:val="24"/>
        </w:rPr>
        <w:t xml:space="preserve"> by more than 0.</w:t>
      </w:r>
      <w:r w:rsidR="00534E27">
        <w:rPr>
          <w:rFonts w:ascii="Times New Roman" w:hAnsi="Times New Roman" w:cs="Times New Roman"/>
          <w:sz w:val="24"/>
          <w:szCs w:val="24"/>
        </w:rPr>
        <w:t>0</w:t>
      </w:r>
      <w:r w:rsidR="00C310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962">
        <w:rPr>
          <w:rFonts w:ascii="Times New Roman" w:hAnsi="Times New Roman" w:cs="Times New Roman"/>
          <w:sz w:val="24"/>
          <w:szCs w:val="24"/>
        </w:rPr>
        <w:t>Finally, t</w:t>
      </w:r>
      <w:r>
        <w:rPr>
          <w:rFonts w:ascii="Times New Roman" w:hAnsi="Times New Roman" w:cs="Times New Roman"/>
          <w:sz w:val="24"/>
          <w:szCs w:val="24"/>
        </w:rPr>
        <w:t>here w</w:t>
      </w:r>
      <w:r w:rsidR="0028264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C31086">
        <w:rPr>
          <w:rFonts w:ascii="Times New Roman" w:hAnsi="Times New Roman" w:cs="Times New Roman"/>
          <w:sz w:val="24"/>
          <w:szCs w:val="24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</w:rPr>
        <w:t xml:space="preserve">differences </w:t>
      </w:r>
      <w:r w:rsidR="0028264D">
        <w:rPr>
          <w:rFonts w:ascii="Times New Roman" w:hAnsi="Times New Roman" w:cs="Times New Roman"/>
          <w:sz w:val="24"/>
          <w:szCs w:val="24"/>
        </w:rPr>
        <w:t xml:space="preserve">in reliability estimates </w:t>
      </w:r>
      <w:r>
        <w:rPr>
          <w:rFonts w:ascii="Times New Roman" w:hAnsi="Times New Roman" w:cs="Times New Roman"/>
          <w:sz w:val="24"/>
          <w:szCs w:val="24"/>
        </w:rPr>
        <w:t>with respect to gender</w:t>
      </w:r>
      <w:r w:rsidR="00C31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race/cultural background</w:t>
      </w:r>
      <w:r w:rsidR="00C31086">
        <w:rPr>
          <w:rFonts w:ascii="Times New Roman" w:hAnsi="Times New Roman" w:cs="Times New Roman"/>
          <w:sz w:val="24"/>
          <w:szCs w:val="24"/>
        </w:rPr>
        <w:t xml:space="preserve">, </w:t>
      </w:r>
      <w:r w:rsidR="00300818">
        <w:rPr>
          <w:rFonts w:ascii="Times New Roman" w:hAnsi="Times New Roman" w:cs="Times New Roman"/>
          <w:sz w:val="24"/>
          <w:szCs w:val="24"/>
        </w:rPr>
        <w:t xml:space="preserve">lunch status, </w:t>
      </w:r>
      <w:r w:rsidR="00C31086">
        <w:rPr>
          <w:rFonts w:ascii="Times New Roman" w:hAnsi="Times New Roman" w:cs="Times New Roman"/>
          <w:sz w:val="24"/>
          <w:szCs w:val="24"/>
        </w:rPr>
        <w:t>or school location</w:t>
      </w:r>
      <w:r>
        <w:rPr>
          <w:rFonts w:ascii="Times New Roman" w:hAnsi="Times New Roman" w:cs="Times New Roman"/>
          <w:sz w:val="24"/>
          <w:szCs w:val="24"/>
        </w:rPr>
        <w:t xml:space="preserve"> at either time frame.</w:t>
      </w:r>
    </w:p>
    <w:p w14:paraId="68ECCBE2" w14:textId="77777777" w:rsidR="0028264D" w:rsidRDefault="0028264D" w:rsidP="00C941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597D51" w14:textId="17EFE339" w:rsidR="00852A37" w:rsidRPr="000E0962" w:rsidRDefault="00AF3C46" w:rsidP="00C941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Correlations Between Each Indicator and TFS Over Time</w:t>
      </w:r>
    </w:p>
    <w:p w14:paraId="54053326" w14:textId="39C3C480" w:rsidR="00E34FEA" w:rsidRDefault="00E34FEA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correlations were in the expected directions and significant at </w:t>
      </w:r>
      <w:r w:rsidRPr="00277B5C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.05 (most were significant at </w:t>
      </w:r>
      <w:r w:rsidRPr="00277B5C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.001). </w:t>
      </w:r>
      <w:r w:rsidR="003008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indicators correlated significant with the TFS, which itself yielded moderate stability</w:t>
      </w:r>
      <w:r w:rsidR="00277B5C">
        <w:rPr>
          <w:rFonts w:ascii="Times New Roman" w:hAnsi="Times New Roman" w:cs="Times New Roman"/>
          <w:sz w:val="24"/>
          <w:szCs w:val="24"/>
        </w:rPr>
        <w:t xml:space="preserve"> </w:t>
      </w:r>
      <w:r w:rsidR="0028264D">
        <w:rPr>
          <w:rFonts w:ascii="Times New Roman" w:hAnsi="Times New Roman" w:cs="Times New Roman"/>
          <w:sz w:val="24"/>
          <w:szCs w:val="24"/>
        </w:rPr>
        <w:t>regardless of</w:t>
      </w:r>
      <w:r w:rsidR="00277B5C">
        <w:rPr>
          <w:rFonts w:ascii="Times New Roman" w:hAnsi="Times New Roman" w:cs="Times New Roman"/>
          <w:sz w:val="24"/>
          <w:szCs w:val="24"/>
        </w:rPr>
        <w:t xml:space="preserve"> grade level</w:t>
      </w:r>
      <w:r w:rsidR="000E0962">
        <w:rPr>
          <w:rFonts w:ascii="Times New Roman" w:hAnsi="Times New Roman" w:cs="Times New Roman"/>
          <w:sz w:val="24"/>
          <w:szCs w:val="24"/>
        </w:rPr>
        <w:t xml:space="preserve"> (</w:t>
      </w:r>
      <w:r w:rsidR="0028264D">
        <w:rPr>
          <w:rFonts w:ascii="Times New Roman" w:hAnsi="Times New Roman" w:cs="Times New Roman"/>
          <w:sz w:val="24"/>
          <w:szCs w:val="24"/>
        </w:rPr>
        <w:t xml:space="preserve">the TFS intercorrelation </w:t>
      </w:r>
      <w:r w:rsidR="000E0962">
        <w:rPr>
          <w:rFonts w:ascii="Times New Roman" w:hAnsi="Times New Roman" w:cs="Times New Roman"/>
          <w:sz w:val="24"/>
          <w:szCs w:val="24"/>
        </w:rPr>
        <w:t>rang</w:t>
      </w:r>
      <w:r w:rsidR="0028264D">
        <w:rPr>
          <w:rFonts w:ascii="Times New Roman" w:hAnsi="Times New Roman" w:cs="Times New Roman"/>
          <w:sz w:val="24"/>
          <w:szCs w:val="24"/>
        </w:rPr>
        <w:t>ed</w:t>
      </w:r>
      <w:r w:rsidR="000E0962">
        <w:rPr>
          <w:rFonts w:ascii="Times New Roman" w:hAnsi="Times New Roman" w:cs="Times New Roman"/>
          <w:sz w:val="24"/>
          <w:szCs w:val="24"/>
        </w:rPr>
        <w:t xml:space="preserve"> from 0.53 at the high school level to 0.51 at the elementary level)</w:t>
      </w:r>
      <w:r>
        <w:rPr>
          <w:rFonts w:ascii="Times New Roman" w:hAnsi="Times New Roman" w:cs="Times New Roman"/>
          <w:sz w:val="24"/>
          <w:szCs w:val="24"/>
        </w:rPr>
        <w:t>. Each indicator also yielded solid temporal stability over the 1-year time frame</w:t>
      </w:r>
      <w:r w:rsidR="0028264D">
        <w:rPr>
          <w:rFonts w:ascii="Times New Roman" w:hAnsi="Times New Roman" w:cs="Times New Roman"/>
          <w:sz w:val="24"/>
          <w:szCs w:val="24"/>
        </w:rPr>
        <w:t xml:space="preserve"> (ranging from 0.41 to 0.65)</w:t>
      </w:r>
      <w:r>
        <w:rPr>
          <w:rFonts w:ascii="Times New Roman" w:hAnsi="Times New Roman" w:cs="Times New Roman"/>
          <w:sz w:val="24"/>
          <w:szCs w:val="24"/>
        </w:rPr>
        <w:t xml:space="preserve">. Finally, </w:t>
      </w:r>
      <w:r w:rsidR="00404E6C">
        <w:rPr>
          <w:rFonts w:ascii="Times New Roman" w:hAnsi="Times New Roman" w:cs="Times New Roman"/>
          <w:sz w:val="24"/>
          <w:szCs w:val="24"/>
        </w:rPr>
        <w:t>cross-</w:t>
      </w:r>
      <w:r>
        <w:rPr>
          <w:rFonts w:ascii="Times New Roman" w:hAnsi="Times New Roman" w:cs="Times New Roman"/>
          <w:sz w:val="24"/>
          <w:szCs w:val="24"/>
        </w:rPr>
        <w:t xml:space="preserve">correlations were </w:t>
      </w:r>
      <w:r w:rsidR="000E0962">
        <w:rPr>
          <w:rFonts w:ascii="Times New Roman" w:hAnsi="Times New Roman" w:cs="Times New Roman"/>
          <w:sz w:val="24"/>
          <w:szCs w:val="24"/>
        </w:rPr>
        <w:t xml:space="preserve">primarily in the </w:t>
      </w:r>
      <w:r>
        <w:rPr>
          <w:rFonts w:ascii="Times New Roman" w:hAnsi="Times New Roman" w:cs="Times New Roman"/>
          <w:sz w:val="24"/>
          <w:szCs w:val="24"/>
        </w:rPr>
        <w:t>moderate</w:t>
      </w:r>
      <w:r w:rsidR="00404E6C">
        <w:rPr>
          <w:rFonts w:ascii="Times New Roman" w:hAnsi="Times New Roman" w:cs="Times New Roman"/>
          <w:sz w:val="24"/>
          <w:szCs w:val="24"/>
        </w:rPr>
        <w:t xml:space="preserve"> range</w:t>
      </w:r>
      <w:r>
        <w:rPr>
          <w:rFonts w:ascii="Times New Roman" w:hAnsi="Times New Roman" w:cs="Times New Roman"/>
          <w:sz w:val="24"/>
          <w:szCs w:val="24"/>
        </w:rPr>
        <w:t xml:space="preserve">, lessening concerns regarding multi-collinearity. </w:t>
      </w:r>
      <w:r w:rsidR="00404E6C">
        <w:rPr>
          <w:rFonts w:ascii="Times New Roman" w:hAnsi="Times New Roman" w:cs="Times New Roman"/>
          <w:sz w:val="24"/>
          <w:szCs w:val="24"/>
        </w:rPr>
        <w:t xml:space="preserve">No significant differences in correlations were found with respect to gender, school location, </w:t>
      </w:r>
      <w:r w:rsidR="00300818">
        <w:rPr>
          <w:rFonts w:ascii="Times New Roman" w:hAnsi="Times New Roman" w:cs="Times New Roman"/>
          <w:sz w:val="24"/>
          <w:szCs w:val="24"/>
        </w:rPr>
        <w:t xml:space="preserve">lunch status </w:t>
      </w:r>
      <w:r w:rsidR="00404E6C">
        <w:rPr>
          <w:rFonts w:ascii="Times New Roman" w:hAnsi="Times New Roman" w:cs="Times New Roman"/>
          <w:sz w:val="24"/>
          <w:szCs w:val="24"/>
        </w:rPr>
        <w:t>and race/cultural background across time frames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70A5E" w14:textId="73258D90" w:rsidR="00F96A56" w:rsidRDefault="00F96A56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E1E8E" w14:textId="342ADFED" w:rsidR="003F66C0" w:rsidRPr="003F66C0" w:rsidRDefault="003F66C0" w:rsidP="00F96A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Correlations with Supplemental Indicators</w:t>
      </w:r>
    </w:p>
    <w:p w14:paraId="74379196" w14:textId="1AE2EE17" w:rsidR="00F408A8" w:rsidRDefault="00F96A56" w:rsidP="00F4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indicators were introduced </w:t>
      </w:r>
      <w:r w:rsidR="000E0962">
        <w:rPr>
          <w:rFonts w:ascii="Times New Roman" w:hAnsi="Times New Roman" w:cs="Times New Roman"/>
          <w:sz w:val="24"/>
          <w:szCs w:val="24"/>
        </w:rPr>
        <w:t xml:space="preserve">to high schools and middle schools </w:t>
      </w:r>
      <w:r>
        <w:rPr>
          <w:rFonts w:ascii="Times New Roman" w:hAnsi="Times New Roman" w:cs="Times New Roman"/>
          <w:sz w:val="24"/>
          <w:szCs w:val="24"/>
        </w:rPr>
        <w:t xml:space="preserve">in 2018. </w:t>
      </w:r>
      <w:r w:rsidR="000E0962">
        <w:rPr>
          <w:rFonts w:ascii="Times New Roman" w:hAnsi="Times New Roman" w:cs="Times New Roman"/>
          <w:sz w:val="24"/>
          <w:szCs w:val="24"/>
        </w:rPr>
        <w:t>C</w:t>
      </w:r>
      <w:r w:rsidR="00F408A8">
        <w:rPr>
          <w:rFonts w:ascii="Times New Roman" w:hAnsi="Times New Roman" w:cs="Times New Roman"/>
          <w:sz w:val="24"/>
          <w:szCs w:val="24"/>
        </w:rPr>
        <w:t xml:space="preserve">orrelations </w:t>
      </w:r>
      <w:r w:rsidR="000E0962">
        <w:rPr>
          <w:rFonts w:ascii="Times New Roman" w:hAnsi="Times New Roman" w:cs="Times New Roman"/>
          <w:sz w:val="24"/>
          <w:szCs w:val="24"/>
        </w:rPr>
        <w:t xml:space="preserve">between each indicator and the supplemental indicators </w:t>
      </w:r>
      <w:r w:rsidR="00F408A8">
        <w:rPr>
          <w:rFonts w:ascii="Times New Roman" w:hAnsi="Times New Roman" w:cs="Times New Roman"/>
          <w:sz w:val="24"/>
          <w:szCs w:val="24"/>
        </w:rPr>
        <w:t xml:space="preserve">were </w:t>
      </w:r>
      <w:r w:rsidR="00300818">
        <w:rPr>
          <w:rFonts w:ascii="Times New Roman" w:hAnsi="Times New Roman" w:cs="Times New Roman"/>
          <w:sz w:val="24"/>
          <w:szCs w:val="24"/>
        </w:rPr>
        <w:t xml:space="preserve">negative and </w:t>
      </w:r>
      <w:r w:rsidR="00F408A8">
        <w:rPr>
          <w:rFonts w:ascii="Times New Roman" w:hAnsi="Times New Roman" w:cs="Times New Roman"/>
          <w:sz w:val="24"/>
          <w:szCs w:val="24"/>
        </w:rPr>
        <w:t xml:space="preserve">significant at </w:t>
      </w:r>
      <w:r w:rsidR="00F408A8" w:rsidRPr="005C45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408A8">
        <w:rPr>
          <w:rFonts w:ascii="Times New Roman" w:hAnsi="Times New Roman" w:cs="Times New Roman"/>
          <w:sz w:val="24"/>
          <w:szCs w:val="24"/>
        </w:rPr>
        <w:t xml:space="preserve"> &lt; .05</w:t>
      </w:r>
      <w:r w:rsidR="000E0962">
        <w:rPr>
          <w:rFonts w:ascii="Times New Roman" w:hAnsi="Times New Roman" w:cs="Times New Roman"/>
          <w:sz w:val="24"/>
          <w:szCs w:val="24"/>
        </w:rPr>
        <w:t xml:space="preserve"> (9</w:t>
      </w:r>
      <w:r w:rsidR="00300818">
        <w:rPr>
          <w:rFonts w:ascii="Times New Roman" w:hAnsi="Times New Roman" w:cs="Times New Roman"/>
          <w:sz w:val="24"/>
          <w:szCs w:val="24"/>
        </w:rPr>
        <w:t>3</w:t>
      </w:r>
      <w:r w:rsidR="000E0962">
        <w:rPr>
          <w:rFonts w:ascii="Times New Roman" w:hAnsi="Times New Roman" w:cs="Times New Roman"/>
          <w:sz w:val="24"/>
          <w:szCs w:val="24"/>
        </w:rPr>
        <w:t xml:space="preserve">% of the correlations were significant at </w:t>
      </w:r>
      <w:r w:rsidR="00F408A8" w:rsidRPr="005C45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408A8">
        <w:rPr>
          <w:rFonts w:ascii="Times New Roman" w:hAnsi="Times New Roman" w:cs="Times New Roman"/>
          <w:sz w:val="24"/>
          <w:szCs w:val="24"/>
        </w:rPr>
        <w:t xml:space="preserve"> &lt; .001</w:t>
      </w:r>
      <w:r w:rsidR="000E0962">
        <w:rPr>
          <w:rFonts w:ascii="Times New Roman" w:hAnsi="Times New Roman" w:cs="Times New Roman"/>
          <w:sz w:val="24"/>
          <w:szCs w:val="24"/>
        </w:rPr>
        <w:t>)</w:t>
      </w:r>
      <w:r w:rsidR="00F408A8">
        <w:rPr>
          <w:rFonts w:ascii="Times New Roman" w:hAnsi="Times New Roman" w:cs="Times New Roman"/>
          <w:sz w:val="24"/>
          <w:szCs w:val="24"/>
        </w:rPr>
        <w:t xml:space="preserve">. As expected, the correlations between the TFS and each supplement indicator was significant </w:t>
      </w:r>
      <w:r w:rsidR="000E0962">
        <w:rPr>
          <w:rFonts w:ascii="Times New Roman" w:hAnsi="Times New Roman" w:cs="Times New Roman"/>
          <w:sz w:val="24"/>
          <w:szCs w:val="24"/>
        </w:rPr>
        <w:t xml:space="preserve">(at p &lt; .001) </w:t>
      </w:r>
      <w:r w:rsidR="00300818">
        <w:rPr>
          <w:rFonts w:ascii="Times New Roman" w:hAnsi="Times New Roman" w:cs="Times New Roman"/>
          <w:sz w:val="24"/>
          <w:szCs w:val="24"/>
        </w:rPr>
        <w:t xml:space="preserve">and moderate </w:t>
      </w:r>
      <w:r w:rsidR="000D3891">
        <w:rPr>
          <w:rFonts w:ascii="Times New Roman" w:hAnsi="Times New Roman" w:cs="Times New Roman"/>
          <w:sz w:val="24"/>
          <w:szCs w:val="24"/>
        </w:rPr>
        <w:t>at both school levels</w:t>
      </w:r>
      <w:r w:rsidR="000E0962">
        <w:rPr>
          <w:rFonts w:ascii="Times New Roman" w:hAnsi="Times New Roman" w:cs="Times New Roman"/>
          <w:sz w:val="24"/>
          <w:szCs w:val="24"/>
        </w:rPr>
        <w:t>, ranging between -0.30 to -0.42.</w:t>
      </w:r>
      <w:r w:rsidR="008D6B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BADD7" w14:textId="3208EA92" w:rsidR="008D6B03" w:rsidRDefault="008D6B03" w:rsidP="00F4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72795" w14:textId="0ED4A7AC" w:rsidR="00F96A56" w:rsidRPr="000E0962" w:rsidRDefault="00F96A56" w:rsidP="00F96A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0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Regression Analyses</w:t>
      </w:r>
      <w:r w:rsidR="00137888" w:rsidRPr="000E0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Individual Indicators Predicting TFS</w:t>
      </w:r>
    </w:p>
    <w:p w14:paraId="46FCF445" w14:textId="6E2F82D6" w:rsidR="00F96A56" w:rsidRDefault="00661CB0" w:rsidP="00F9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grades 6-12</w:t>
      </w:r>
      <w:r w:rsidR="00F96A56">
        <w:rPr>
          <w:rFonts w:ascii="Times New Roman" w:hAnsi="Times New Roman" w:cs="Times New Roman"/>
          <w:sz w:val="24"/>
          <w:szCs w:val="24"/>
        </w:rPr>
        <w:t xml:space="preserve">, the </w:t>
      </w:r>
      <w:r w:rsidR="000E0962">
        <w:rPr>
          <w:rFonts w:ascii="Times New Roman" w:hAnsi="Times New Roman" w:cs="Times New Roman"/>
          <w:sz w:val="24"/>
          <w:szCs w:val="24"/>
        </w:rPr>
        <w:t xml:space="preserve">hierarchical regression </w:t>
      </w:r>
      <w:r w:rsidR="00F96A56">
        <w:rPr>
          <w:rFonts w:ascii="Times New Roman" w:hAnsi="Times New Roman" w:cs="Times New Roman"/>
          <w:sz w:val="24"/>
          <w:szCs w:val="24"/>
        </w:rPr>
        <w:t>captured 53% of the variance and all individual indicators were significant predictors of the TFS</w:t>
      </w:r>
      <w:r w:rsidR="005C4504">
        <w:rPr>
          <w:rFonts w:ascii="Times New Roman" w:hAnsi="Times New Roman" w:cs="Times New Roman"/>
          <w:sz w:val="24"/>
          <w:szCs w:val="24"/>
        </w:rPr>
        <w:t xml:space="preserve"> (at </w:t>
      </w:r>
      <w:r w:rsidR="005C4504" w:rsidRPr="005C45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C4504">
        <w:rPr>
          <w:rFonts w:ascii="Times New Roman" w:hAnsi="Times New Roman" w:cs="Times New Roman"/>
          <w:sz w:val="24"/>
          <w:szCs w:val="24"/>
        </w:rPr>
        <w:t xml:space="preserve"> &lt; .001). </w:t>
      </w:r>
      <w:r w:rsidR="009E177D">
        <w:rPr>
          <w:rFonts w:ascii="Times New Roman" w:hAnsi="Times New Roman" w:cs="Times New Roman"/>
          <w:sz w:val="24"/>
          <w:szCs w:val="24"/>
        </w:rPr>
        <w:t>Using Cohen’s ƒ</w:t>
      </w:r>
      <w:r w:rsidR="009E177D" w:rsidRPr="009E17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177D">
        <w:rPr>
          <w:rFonts w:ascii="Times New Roman" w:hAnsi="Times New Roman" w:cs="Times New Roman"/>
          <w:sz w:val="24"/>
          <w:szCs w:val="24"/>
        </w:rPr>
        <w:t xml:space="preserve"> formula, the overall regression result</w:t>
      </w:r>
      <w:r w:rsidR="00F44E44">
        <w:rPr>
          <w:rFonts w:ascii="Times New Roman" w:hAnsi="Times New Roman" w:cs="Times New Roman"/>
          <w:sz w:val="24"/>
          <w:szCs w:val="24"/>
        </w:rPr>
        <w:t>ed</w:t>
      </w:r>
      <w:r w:rsidR="009E177D">
        <w:rPr>
          <w:rFonts w:ascii="Times New Roman" w:hAnsi="Times New Roman" w:cs="Times New Roman"/>
          <w:sz w:val="24"/>
          <w:szCs w:val="24"/>
        </w:rPr>
        <w:t xml:space="preserve"> in a large effect size. </w:t>
      </w:r>
      <w:r w:rsidR="00C71F75">
        <w:rPr>
          <w:rFonts w:ascii="Times New Roman" w:hAnsi="Times New Roman" w:cs="Times New Roman"/>
          <w:sz w:val="24"/>
          <w:szCs w:val="24"/>
        </w:rPr>
        <w:t xml:space="preserve">Standardized coefficients ranged from .056 to </w:t>
      </w:r>
      <w:r w:rsidR="000E0962">
        <w:rPr>
          <w:rFonts w:ascii="Times New Roman" w:hAnsi="Times New Roman" w:cs="Times New Roman"/>
          <w:sz w:val="24"/>
          <w:szCs w:val="24"/>
        </w:rPr>
        <w:t xml:space="preserve">   </w:t>
      </w:r>
      <w:r w:rsidR="00C71F75">
        <w:rPr>
          <w:rFonts w:ascii="Times New Roman" w:hAnsi="Times New Roman" w:cs="Times New Roman"/>
          <w:sz w:val="24"/>
          <w:szCs w:val="24"/>
        </w:rPr>
        <w:t>-</w:t>
      </w:r>
      <w:r w:rsidR="00404E6C">
        <w:rPr>
          <w:rFonts w:ascii="Times New Roman" w:hAnsi="Times New Roman" w:cs="Times New Roman"/>
          <w:sz w:val="24"/>
          <w:szCs w:val="24"/>
        </w:rPr>
        <w:t>0</w:t>
      </w:r>
      <w:r w:rsidR="00C71F75">
        <w:rPr>
          <w:rFonts w:ascii="Times New Roman" w:hAnsi="Times New Roman" w:cs="Times New Roman"/>
          <w:sz w:val="24"/>
          <w:szCs w:val="24"/>
        </w:rPr>
        <w:t>.43.</w:t>
      </w:r>
      <w:r w:rsidR="005C4504">
        <w:rPr>
          <w:rFonts w:ascii="Times New Roman" w:hAnsi="Times New Roman" w:cs="Times New Roman"/>
          <w:sz w:val="24"/>
          <w:szCs w:val="24"/>
        </w:rPr>
        <w:t xml:space="preserve"> </w:t>
      </w:r>
      <w:r w:rsidR="00F96A56">
        <w:rPr>
          <w:rFonts w:ascii="Times New Roman" w:hAnsi="Times New Roman" w:cs="Times New Roman"/>
          <w:sz w:val="24"/>
          <w:szCs w:val="24"/>
        </w:rPr>
        <w:t>Results of the 2018 regression yielded similar results and capture</w:t>
      </w:r>
      <w:r w:rsidR="00810C82">
        <w:rPr>
          <w:rFonts w:ascii="Times New Roman" w:hAnsi="Times New Roman" w:cs="Times New Roman"/>
          <w:sz w:val="24"/>
          <w:szCs w:val="24"/>
        </w:rPr>
        <w:t>d</w:t>
      </w:r>
      <w:r w:rsidR="00F96A56">
        <w:rPr>
          <w:rFonts w:ascii="Times New Roman" w:hAnsi="Times New Roman" w:cs="Times New Roman"/>
          <w:sz w:val="24"/>
          <w:szCs w:val="24"/>
        </w:rPr>
        <w:t xml:space="preserve"> 5</w:t>
      </w:r>
      <w:r w:rsidR="00300818">
        <w:rPr>
          <w:rFonts w:ascii="Times New Roman" w:hAnsi="Times New Roman" w:cs="Times New Roman"/>
          <w:sz w:val="24"/>
          <w:szCs w:val="24"/>
        </w:rPr>
        <w:t>3</w:t>
      </w:r>
      <w:r w:rsidR="00F96A56">
        <w:rPr>
          <w:rFonts w:ascii="Times New Roman" w:hAnsi="Times New Roman" w:cs="Times New Roman"/>
          <w:sz w:val="24"/>
          <w:szCs w:val="24"/>
        </w:rPr>
        <w:t>.2% of the variance</w:t>
      </w:r>
      <w:r w:rsidR="00674674">
        <w:rPr>
          <w:rFonts w:ascii="Times New Roman" w:hAnsi="Times New Roman" w:cs="Times New Roman"/>
          <w:sz w:val="24"/>
          <w:szCs w:val="24"/>
        </w:rPr>
        <w:t>, with each indicator again adding unique variance to the TFS at roughly the same magnitude.</w:t>
      </w:r>
    </w:p>
    <w:p w14:paraId="49E8C015" w14:textId="011DBCB3" w:rsidR="00674674" w:rsidRDefault="00674674" w:rsidP="00F9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CD50C" w14:textId="05ED80A9" w:rsidR="00674674" w:rsidRDefault="00674674" w:rsidP="00F9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04E6C">
        <w:rPr>
          <w:rFonts w:ascii="Times New Roman" w:hAnsi="Times New Roman" w:cs="Times New Roman"/>
          <w:sz w:val="24"/>
          <w:szCs w:val="24"/>
        </w:rPr>
        <w:t>separate</w:t>
      </w:r>
      <w:r w:rsidR="00C71F75">
        <w:rPr>
          <w:rFonts w:ascii="Times New Roman" w:hAnsi="Times New Roman" w:cs="Times New Roman"/>
          <w:sz w:val="24"/>
          <w:szCs w:val="24"/>
        </w:rPr>
        <w:t xml:space="preserve"> hierarchical regression was conducted on e</w:t>
      </w:r>
      <w:r>
        <w:rPr>
          <w:rFonts w:ascii="Times New Roman" w:hAnsi="Times New Roman" w:cs="Times New Roman"/>
          <w:sz w:val="24"/>
          <w:szCs w:val="24"/>
        </w:rPr>
        <w:t>lementary school students</w:t>
      </w:r>
      <w:r w:rsidR="00C71F75">
        <w:rPr>
          <w:rFonts w:ascii="Times New Roman" w:hAnsi="Times New Roman" w:cs="Times New Roman"/>
          <w:sz w:val="24"/>
          <w:szCs w:val="24"/>
        </w:rPr>
        <w:t>. Results paralleled t</w:t>
      </w:r>
      <w:r w:rsidR="00AD426B">
        <w:rPr>
          <w:rFonts w:ascii="Times New Roman" w:hAnsi="Times New Roman" w:cs="Times New Roman"/>
          <w:sz w:val="24"/>
          <w:szCs w:val="24"/>
        </w:rPr>
        <w:t>hose</w:t>
      </w:r>
      <w:r w:rsidR="00C71F75">
        <w:rPr>
          <w:rFonts w:ascii="Times New Roman" w:hAnsi="Times New Roman" w:cs="Times New Roman"/>
          <w:sz w:val="24"/>
          <w:szCs w:val="24"/>
        </w:rPr>
        <w:t xml:space="preserve"> found with older students: the </w:t>
      </w:r>
      <w:r w:rsidR="00404E6C">
        <w:rPr>
          <w:rFonts w:ascii="Times New Roman" w:hAnsi="Times New Roman" w:cs="Times New Roman"/>
          <w:sz w:val="24"/>
          <w:szCs w:val="24"/>
        </w:rPr>
        <w:t xml:space="preserve">overall </w:t>
      </w:r>
      <w:r w:rsidR="00C71F75">
        <w:rPr>
          <w:rFonts w:ascii="Times New Roman" w:hAnsi="Times New Roman" w:cs="Times New Roman"/>
          <w:sz w:val="24"/>
          <w:szCs w:val="24"/>
        </w:rPr>
        <w:t>solution captured 54.3% of the variance (</w:t>
      </w:r>
      <w:r w:rsidR="00300818">
        <w:rPr>
          <w:rFonts w:ascii="Times New Roman" w:hAnsi="Times New Roman" w:cs="Times New Roman"/>
          <w:sz w:val="24"/>
          <w:szCs w:val="24"/>
        </w:rPr>
        <w:t xml:space="preserve">also </w:t>
      </w:r>
      <w:r w:rsidR="00C71F75">
        <w:rPr>
          <w:rFonts w:ascii="Times New Roman" w:hAnsi="Times New Roman" w:cs="Times New Roman"/>
          <w:sz w:val="24"/>
          <w:szCs w:val="24"/>
        </w:rPr>
        <w:t>resulting in a large effect size) and each indicator was a unique predictor of the TFS</w:t>
      </w:r>
      <w:r w:rsidR="0028264D">
        <w:rPr>
          <w:rFonts w:ascii="Times New Roman" w:hAnsi="Times New Roman" w:cs="Times New Roman"/>
          <w:sz w:val="24"/>
          <w:szCs w:val="24"/>
        </w:rPr>
        <w:t>. S</w:t>
      </w:r>
      <w:r w:rsidR="00C71F75">
        <w:rPr>
          <w:rFonts w:ascii="Times New Roman" w:hAnsi="Times New Roman" w:cs="Times New Roman"/>
          <w:sz w:val="24"/>
          <w:szCs w:val="24"/>
        </w:rPr>
        <w:t xml:space="preserve">tandardized coefficients ranged from .15 to -.44. </w:t>
      </w:r>
      <w:r w:rsidR="00661CB0">
        <w:rPr>
          <w:rFonts w:ascii="Times New Roman" w:hAnsi="Times New Roman" w:cs="Times New Roman"/>
          <w:sz w:val="24"/>
          <w:szCs w:val="24"/>
        </w:rPr>
        <w:t xml:space="preserve">Results from the 2018 sample found that the solution captured 62.2% of the variance, and each indicator </w:t>
      </w:r>
      <w:r w:rsidR="00300818">
        <w:rPr>
          <w:rFonts w:ascii="Times New Roman" w:hAnsi="Times New Roman" w:cs="Times New Roman"/>
          <w:sz w:val="24"/>
          <w:szCs w:val="24"/>
        </w:rPr>
        <w:t xml:space="preserve">again </w:t>
      </w:r>
      <w:r w:rsidR="00661CB0">
        <w:rPr>
          <w:rFonts w:ascii="Times New Roman" w:hAnsi="Times New Roman" w:cs="Times New Roman"/>
          <w:sz w:val="24"/>
          <w:szCs w:val="24"/>
        </w:rPr>
        <w:t xml:space="preserve">was </w:t>
      </w:r>
      <w:r w:rsidR="0028264D">
        <w:rPr>
          <w:rFonts w:ascii="Times New Roman" w:hAnsi="Times New Roman" w:cs="Times New Roman"/>
          <w:sz w:val="24"/>
          <w:szCs w:val="24"/>
        </w:rPr>
        <w:t>a</w:t>
      </w:r>
      <w:r w:rsidR="00661CB0">
        <w:rPr>
          <w:rFonts w:ascii="Times New Roman" w:hAnsi="Times New Roman" w:cs="Times New Roman"/>
          <w:sz w:val="24"/>
          <w:szCs w:val="24"/>
        </w:rPr>
        <w:t xml:space="preserve"> significant predictor of the TFS</w:t>
      </w:r>
      <w:r w:rsidR="00404E6C">
        <w:rPr>
          <w:rFonts w:ascii="Times New Roman" w:hAnsi="Times New Roman" w:cs="Times New Roman"/>
          <w:sz w:val="24"/>
          <w:szCs w:val="24"/>
        </w:rPr>
        <w:t xml:space="preserve"> at roughly the same magnitude</w:t>
      </w:r>
      <w:r w:rsidR="0028264D">
        <w:rPr>
          <w:rFonts w:ascii="Times New Roman" w:hAnsi="Times New Roman" w:cs="Times New Roman"/>
          <w:sz w:val="24"/>
          <w:szCs w:val="24"/>
        </w:rPr>
        <w:t>.</w:t>
      </w:r>
    </w:p>
    <w:p w14:paraId="1B255482" w14:textId="77777777" w:rsidR="0028264D" w:rsidRDefault="0028264D" w:rsidP="00F96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B99C1" w14:textId="77777777" w:rsidR="00534E27" w:rsidRDefault="00534E27" w:rsidP="00F96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DCFEB" w14:textId="77777777" w:rsidR="00534E27" w:rsidRDefault="00534E27" w:rsidP="00F96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A4943" w14:textId="77777777" w:rsidR="00534E27" w:rsidRDefault="00534E27" w:rsidP="00F96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63BB8" w14:textId="77777777" w:rsidR="00534E27" w:rsidRDefault="00534E27" w:rsidP="00F96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C0B0" w14:textId="0AB95673" w:rsidR="00810C82" w:rsidRDefault="00810C82" w:rsidP="00F96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C82">
        <w:rPr>
          <w:rFonts w:ascii="Times New Roman" w:hAnsi="Times New Roman" w:cs="Times New Roman"/>
          <w:b/>
          <w:bCs/>
          <w:sz w:val="24"/>
          <w:szCs w:val="24"/>
        </w:rPr>
        <w:t xml:space="preserve">Relationship Between </w:t>
      </w:r>
      <w:r w:rsidR="009539B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810C82">
        <w:rPr>
          <w:rFonts w:ascii="Times New Roman" w:hAnsi="Times New Roman" w:cs="Times New Roman"/>
          <w:b/>
          <w:bCs/>
          <w:sz w:val="24"/>
          <w:szCs w:val="24"/>
        </w:rPr>
        <w:t>TFS and Academic</w:t>
      </w:r>
      <w:r w:rsidR="009539B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10C82">
        <w:rPr>
          <w:rFonts w:ascii="Times New Roman" w:hAnsi="Times New Roman" w:cs="Times New Roman"/>
          <w:b/>
          <w:bCs/>
          <w:sz w:val="24"/>
          <w:szCs w:val="24"/>
        </w:rPr>
        <w:t>Behavioral Outcomes</w:t>
      </w:r>
    </w:p>
    <w:p w14:paraId="4057C324" w14:textId="1B913C6C" w:rsidR="00810C82" w:rsidRDefault="00810C82" w:rsidP="00810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correlations </w:t>
      </w:r>
      <w:r w:rsidR="0028264D">
        <w:rPr>
          <w:rFonts w:ascii="Times New Roman" w:hAnsi="Times New Roman" w:cs="Times New Roman"/>
          <w:sz w:val="24"/>
          <w:szCs w:val="24"/>
        </w:rPr>
        <w:t>at both time frames were</w:t>
      </w:r>
      <w:r>
        <w:rPr>
          <w:rFonts w:ascii="Times New Roman" w:hAnsi="Times New Roman" w:cs="Times New Roman"/>
          <w:sz w:val="24"/>
          <w:szCs w:val="24"/>
        </w:rPr>
        <w:t xml:space="preserve"> significant at </w:t>
      </w:r>
      <w:r w:rsidRPr="00810C82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.05</w:t>
      </w:r>
      <w:r w:rsidR="0028264D">
        <w:rPr>
          <w:rFonts w:ascii="Times New Roman" w:hAnsi="Times New Roman" w:cs="Times New Roman"/>
          <w:sz w:val="24"/>
          <w:szCs w:val="24"/>
        </w:rPr>
        <w:t xml:space="preserve"> (9</w:t>
      </w:r>
      <w:r w:rsidR="00300818">
        <w:rPr>
          <w:rFonts w:ascii="Times New Roman" w:hAnsi="Times New Roman" w:cs="Times New Roman"/>
          <w:sz w:val="24"/>
          <w:szCs w:val="24"/>
        </w:rPr>
        <w:t>7</w:t>
      </w:r>
      <w:r w:rsidR="0028264D">
        <w:rPr>
          <w:rFonts w:ascii="Times New Roman" w:hAnsi="Times New Roman" w:cs="Times New Roman"/>
          <w:sz w:val="24"/>
          <w:szCs w:val="24"/>
        </w:rPr>
        <w:t xml:space="preserve">% were significant at p &lt; .001). </w:t>
      </w:r>
      <w:r w:rsidR="000C553C">
        <w:rPr>
          <w:rFonts w:ascii="Times New Roman" w:hAnsi="Times New Roman" w:cs="Times New Roman"/>
          <w:sz w:val="24"/>
          <w:szCs w:val="24"/>
        </w:rPr>
        <w:t>Regardless of school level, s</w:t>
      </w:r>
      <w:r>
        <w:rPr>
          <w:rFonts w:ascii="Times New Roman" w:hAnsi="Times New Roman" w:cs="Times New Roman"/>
          <w:sz w:val="24"/>
          <w:szCs w:val="24"/>
        </w:rPr>
        <w:t xml:space="preserve">tudents </w:t>
      </w:r>
      <w:r w:rsidR="00404E6C"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sz w:val="24"/>
          <w:szCs w:val="24"/>
        </w:rPr>
        <w:t xml:space="preserve">a higher TFS also </w:t>
      </w:r>
      <w:r w:rsidR="00404E6C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higher academic outcomes and display</w:t>
      </w:r>
      <w:r w:rsidR="00404E6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6C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positive behaviors, while those reporting a lower TFS ha</w:t>
      </w:r>
      <w:r w:rsidR="00404E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poorer academic outcomes and </w:t>
      </w:r>
      <w:r w:rsidR="00404E6C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more likely to engage in negative behaviors at school.</w:t>
      </w:r>
    </w:p>
    <w:p w14:paraId="3CCA5AF6" w14:textId="77777777" w:rsidR="00C93EAA" w:rsidRDefault="00C93EAA" w:rsidP="00137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C04A6" w14:textId="30F4DCE0" w:rsidR="00137888" w:rsidRPr="00F96A56" w:rsidRDefault="00137888" w:rsidP="00137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2092721"/>
      <w:r w:rsidRPr="00F96A56">
        <w:rPr>
          <w:rFonts w:ascii="Times New Roman" w:hAnsi="Times New Roman" w:cs="Times New Roman"/>
          <w:b/>
          <w:bCs/>
          <w:sz w:val="24"/>
          <w:szCs w:val="24"/>
        </w:rPr>
        <w:t>Regression Analyses</w:t>
      </w:r>
      <w:r>
        <w:rPr>
          <w:rFonts w:ascii="Times New Roman" w:hAnsi="Times New Roman" w:cs="Times New Roman"/>
          <w:b/>
          <w:bCs/>
          <w:sz w:val="24"/>
          <w:szCs w:val="24"/>
        </w:rPr>
        <w:t>: TFS Predicting Academic/Behavioral Variable</w:t>
      </w:r>
    </w:p>
    <w:bookmarkEnd w:id="2"/>
    <w:p w14:paraId="21982FAF" w14:textId="340DB48B" w:rsidR="00A6242C" w:rsidRDefault="00137888" w:rsidP="0013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series of hierarchical regression analyses, </w:t>
      </w:r>
      <w:r w:rsidR="00300818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 xml:space="preserve">2018 academic/behavioral variable </w:t>
      </w:r>
      <w:r w:rsidR="00300818">
        <w:rPr>
          <w:rFonts w:ascii="Times New Roman" w:hAnsi="Times New Roman" w:cs="Times New Roman"/>
          <w:sz w:val="24"/>
          <w:szCs w:val="24"/>
        </w:rPr>
        <w:t>was</w:t>
      </w:r>
      <w:r w:rsidR="0028264D">
        <w:rPr>
          <w:rFonts w:ascii="Times New Roman" w:hAnsi="Times New Roman" w:cs="Times New Roman"/>
          <w:sz w:val="24"/>
          <w:szCs w:val="24"/>
        </w:rPr>
        <w:t xml:space="preserve"> treated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300818">
        <w:rPr>
          <w:rFonts w:ascii="Times New Roman" w:hAnsi="Times New Roman" w:cs="Times New Roman"/>
          <w:sz w:val="24"/>
          <w:szCs w:val="24"/>
        </w:rPr>
        <w:t xml:space="preserve">a </w:t>
      </w:r>
      <w:r w:rsidR="002826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ependent variable. </w:t>
      </w:r>
      <w:r w:rsidR="00404E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ontroll</w:t>
      </w:r>
      <w:r w:rsidR="00404E6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A6242C">
        <w:rPr>
          <w:rFonts w:ascii="Times New Roman" w:hAnsi="Times New Roman" w:cs="Times New Roman"/>
          <w:sz w:val="24"/>
          <w:szCs w:val="24"/>
        </w:rPr>
        <w:t>gender and school location</w:t>
      </w:r>
      <w:r w:rsidR="0028264D">
        <w:rPr>
          <w:rFonts w:ascii="Times New Roman" w:hAnsi="Times New Roman" w:cs="Times New Roman"/>
          <w:sz w:val="24"/>
          <w:szCs w:val="24"/>
        </w:rPr>
        <w:t xml:space="preserve">, </w:t>
      </w:r>
      <w:r w:rsidR="00404E6C">
        <w:rPr>
          <w:rFonts w:ascii="Times New Roman" w:hAnsi="Times New Roman" w:cs="Times New Roman"/>
          <w:sz w:val="24"/>
          <w:szCs w:val="24"/>
        </w:rPr>
        <w:t xml:space="preserve">both </w:t>
      </w:r>
      <w:r w:rsidR="00A6242C">
        <w:rPr>
          <w:rFonts w:ascii="Times New Roman" w:hAnsi="Times New Roman" w:cs="Times New Roman"/>
          <w:sz w:val="24"/>
          <w:szCs w:val="24"/>
        </w:rPr>
        <w:t xml:space="preserve">the 2017 and the 2018 TFS were significant predictors </w:t>
      </w:r>
      <w:r w:rsidR="0028264D">
        <w:rPr>
          <w:rFonts w:ascii="Times New Roman" w:hAnsi="Times New Roman" w:cs="Times New Roman"/>
          <w:sz w:val="24"/>
          <w:szCs w:val="24"/>
        </w:rPr>
        <w:t>of each dependent variable</w:t>
      </w:r>
      <w:r w:rsidR="00404E6C">
        <w:rPr>
          <w:rFonts w:ascii="Times New Roman" w:hAnsi="Times New Roman" w:cs="Times New Roman"/>
          <w:sz w:val="24"/>
          <w:szCs w:val="24"/>
        </w:rPr>
        <w:t xml:space="preserve"> (data for the 2018 analysis is reported below)</w:t>
      </w:r>
      <w:r w:rsidR="00BB689C">
        <w:rPr>
          <w:rFonts w:ascii="Times New Roman" w:hAnsi="Times New Roman" w:cs="Times New Roman"/>
          <w:sz w:val="24"/>
          <w:szCs w:val="24"/>
        </w:rPr>
        <w:t xml:space="preserve">. </w:t>
      </w:r>
      <w:r w:rsidR="00A21DF3">
        <w:rPr>
          <w:rFonts w:ascii="Times New Roman" w:hAnsi="Times New Roman" w:cs="Times New Roman"/>
          <w:sz w:val="24"/>
          <w:szCs w:val="24"/>
        </w:rPr>
        <w:t>In general, an increase in TFS contributes to a substantial increase in academic outcomes and a decrease in behavioral difficulties that hinder optimal school and interpersonal functioning.</w:t>
      </w:r>
    </w:p>
    <w:p w14:paraId="0DB8AB91" w14:textId="77777777" w:rsidR="00A6242C" w:rsidRDefault="00A6242C" w:rsidP="0013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33868" w14:textId="55BED975" w:rsidR="008D55F5" w:rsidRDefault="008D55F5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99" w:type="dxa"/>
        <w:tblLook w:val="04A0" w:firstRow="1" w:lastRow="0" w:firstColumn="1" w:lastColumn="0" w:noHBand="0" w:noVBand="1"/>
      </w:tblPr>
      <w:tblGrid>
        <w:gridCol w:w="4845"/>
        <w:gridCol w:w="2117"/>
        <w:gridCol w:w="3237"/>
      </w:tblGrid>
      <w:tr w:rsidR="00A6242C" w:rsidRPr="00A6242C" w14:paraId="494C59E3" w14:textId="77777777" w:rsidTr="00421710">
        <w:trPr>
          <w:trHeight w:val="52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11EDC68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6242C">
              <w:rPr>
                <w:rFonts w:ascii="Calibri" w:eastAsia="Times New Roman" w:hAnsi="Calibri" w:cs="Calibri"/>
                <w:b/>
                <w:bCs/>
                <w:color w:val="FFFFFF"/>
              </w:rPr>
              <w:t>2018 Variable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7FA5E3E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6242C"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</w:rPr>
              <w:t>B</w:t>
            </w:r>
            <w:r w:rsidRPr="00A6242C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(SE</w:t>
            </w:r>
            <w:r w:rsidRPr="00A6242C">
              <w:rPr>
                <w:rFonts w:ascii="Calibri" w:eastAsia="Times New Roman" w:hAnsi="Calibri" w:cs="Calibri"/>
                <w:b/>
                <w:bCs/>
                <w:color w:val="FFFFFF" w:themeColor="background1"/>
                <w:vertAlign w:val="subscript"/>
              </w:rPr>
              <w:t>b</w:t>
            </w:r>
            <w:r w:rsidRPr="00A6242C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AFE4FE8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6242C">
              <w:rPr>
                <w:rFonts w:ascii="Calibri" w:eastAsia="Times New Roman" w:hAnsi="Calibri" w:cs="Calibri"/>
                <w:b/>
                <w:bCs/>
                <w:color w:val="FFFFFF"/>
              </w:rPr>
              <w:t>β</w:t>
            </w:r>
          </w:p>
        </w:tc>
      </w:tr>
      <w:tr w:rsidR="00A6242C" w:rsidRPr="00A6242C" w14:paraId="4F28702E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2134CE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Unweighted GPA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F3866C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2C">
              <w:rPr>
                <w:rFonts w:ascii="Calibri" w:eastAsia="Times New Roman" w:hAnsi="Calibri" w:cs="Calibri"/>
                <w:color w:val="000000"/>
              </w:rPr>
              <w:t>.15 (.10)**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678B0EE" w14:textId="515B0E8A" w:rsidR="00A6242C" w:rsidRPr="00A6242C" w:rsidRDefault="006069F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A6242C" w:rsidRPr="00A6242C" w14:paraId="02B7F758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6466C2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MAP Reading Results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C6F657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2C">
              <w:rPr>
                <w:rFonts w:ascii="Calibri" w:eastAsia="Times New Roman" w:hAnsi="Calibri" w:cs="Calibri"/>
                <w:color w:val="000000"/>
              </w:rPr>
              <w:t>.96 (.36)*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EE56DF4" w14:textId="15C212E1" w:rsidR="00A6242C" w:rsidRPr="00A6242C" w:rsidRDefault="006069F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A6242C" w:rsidRPr="00A6242C" w14:paraId="687FD1A2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98AC4E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MAP Math Results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17152B" w14:textId="77777777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242C">
              <w:rPr>
                <w:rFonts w:ascii="Calibri" w:eastAsia="Times New Roman" w:hAnsi="Calibri" w:cs="Calibri"/>
                <w:color w:val="000000"/>
              </w:rPr>
              <w:t>2.03 (.46)**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93BB29" w14:textId="53D10BE4" w:rsidR="00A6242C" w:rsidRPr="00A6242C" w:rsidRDefault="006069F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A6242C" w:rsidRPr="00A6242C" w14:paraId="69508DCE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9A2778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Total Behavior Incidents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E8E47C" w14:textId="05F4ED5A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A6242C">
              <w:rPr>
                <w:rFonts w:ascii="Calibri" w:eastAsia="Times New Roman" w:hAnsi="Calibri" w:cs="Calibri"/>
                <w:color w:val="000000"/>
              </w:rPr>
              <w:t>.73 (.22)**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F92443C" w14:textId="4283C2B2" w:rsidR="00A6242C" w:rsidRPr="00A6242C" w:rsidRDefault="00BB689C" w:rsidP="00BB6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6069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069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-0.14</w:t>
            </w:r>
          </w:p>
        </w:tc>
      </w:tr>
      <w:tr w:rsidR="00A6242C" w:rsidRPr="00A6242C" w14:paraId="515D4979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5D1A23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Unexcused Absences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C085AF" w14:textId="20425B4E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A6242C">
              <w:rPr>
                <w:rFonts w:ascii="Calibri" w:eastAsia="Times New Roman" w:hAnsi="Calibri" w:cs="Calibri"/>
                <w:color w:val="000000"/>
              </w:rPr>
              <w:t>.59 (.08)**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CD563A9" w14:textId="6F0F8C3C" w:rsidR="00A6242C" w:rsidRPr="00A6242C" w:rsidRDefault="00BB689C" w:rsidP="00BB6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  <w:r w:rsidR="006069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069F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-0.17</w:t>
            </w:r>
          </w:p>
        </w:tc>
      </w:tr>
      <w:tr w:rsidR="00A6242C" w:rsidRPr="00A6242C" w14:paraId="2AB53D14" w14:textId="77777777" w:rsidTr="00421710">
        <w:trPr>
          <w:trHeight w:val="484"/>
        </w:trPr>
        <w:tc>
          <w:tcPr>
            <w:tcW w:w="484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D88333" w14:textId="77777777" w:rsidR="00A6242C" w:rsidRPr="00A6242C" w:rsidRDefault="00A6242C" w:rsidP="00A624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6242C">
              <w:rPr>
                <w:rFonts w:ascii="Calibri" w:eastAsia="Times New Roman" w:hAnsi="Calibri" w:cs="Calibri"/>
                <w:i/>
                <w:iCs/>
                <w:color w:val="000000"/>
              </w:rPr>
              <w:t>Days Absent</w:t>
            </w:r>
          </w:p>
        </w:tc>
        <w:tc>
          <w:tcPr>
            <w:tcW w:w="21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2DDFA5" w14:textId="2CB58F5C" w:rsidR="00A6242C" w:rsidRPr="00A6242C" w:rsidRDefault="00A6242C" w:rsidP="00A6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A6242C">
              <w:rPr>
                <w:rFonts w:ascii="Calibri" w:eastAsia="Times New Roman" w:hAnsi="Calibri" w:cs="Calibri"/>
                <w:color w:val="000000"/>
              </w:rPr>
              <w:t>.96 (.14)**</w:t>
            </w:r>
          </w:p>
        </w:tc>
        <w:tc>
          <w:tcPr>
            <w:tcW w:w="323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E9858D" w14:textId="5924AD0C" w:rsidR="00A6242C" w:rsidRPr="00A6242C" w:rsidRDefault="00BB689C" w:rsidP="00BB6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6069FC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242C" w:rsidRPr="00A6242C">
              <w:rPr>
                <w:rFonts w:ascii="Calibri" w:eastAsia="Times New Roman" w:hAnsi="Calibri" w:cs="Calibri"/>
                <w:color w:val="000000"/>
              </w:rPr>
              <w:t>-0.15</w:t>
            </w:r>
          </w:p>
        </w:tc>
      </w:tr>
    </w:tbl>
    <w:p w14:paraId="425A4994" w14:textId="5024B678" w:rsidR="008D55F5" w:rsidRPr="00300818" w:rsidRDefault="00BB689C" w:rsidP="00C94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818">
        <w:rPr>
          <w:rFonts w:ascii="Times New Roman" w:hAnsi="Times New Roman" w:cs="Times New Roman"/>
          <w:sz w:val="20"/>
          <w:szCs w:val="20"/>
        </w:rPr>
        <w:t>*</w:t>
      </w:r>
      <w:r w:rsidRPr="00300818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00818">
        <w:rPr>
          <w:rFonts w:ascii="Times New Roman" w:hAnsi="Times New Roman" w:cs="Times New Roman"/>
          <w:sz w:val="20"/>
          <w:szCs w:val="20"/>
        </w:rPr>
        <w:t xml:space="preserve"> &lt; .05.</w:t>
      </w:r>
    </w:p>
    <w:p w14:paraId="536558B2" w14:textId="5C75A018" w:rsidR="00BB689C" w:rsidRPr="00300818" w:rsidRDefault="00BB689C" w:rsidP="00C94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0818">
        <w:rPr>
          <w:rFonts w:ascii="Times New Roman" w:hAnsi="Times New Roman" w:cs="Times New Roman"/>
          <w:sz w:val="20"/>
          <w:szCs w:val="20"/>
        </w:rPr>
        <w:t>**</w:t>
      </w:r>
      <w:r w:rsidRPr="00300818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00818">
        <w:rPr>
          <w:rFonts w:ascii="Times New Roman" w:hAnsi="Times New Roman" w:cs="Times New Roman"/>
          <w:sz w:val="20"/>
          <w:szCs w:val="20"/>
        </w:rPr>
        <w:t xml:space="preserve"> &lt; .001.</w:t>
      </w:r>
    </w:p>
    <w:p w14:paraId="278BAB49" w14:textId="77777777" w:rsidR="00BB689C" w:rsidRPr="00300818" w:rsidRDefault="00BB689C" w:rsidP="00C941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C6B60" w14:textId="27200AC8" w:rsidR="008D55F5" w:rsidRDefault="008D55F5" w:rsidP="00C9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F7A05" w14:textId="77777777" w:rsidR="00421710" w:rsidRPr="00421710" w:rsidRDefault="00421710" w:rsidP="00421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1710">
        <w:rPr>
          <w:rFonts w:ascii="Times New Roman" w:hAnsi="Times New Roman" w:cs="Times New Roman"/>
          <w:b/>
          <w:bCs/>
          <w:sz w:val="36"/>
          <w:szCs w:val="36"/>
        </w:rPr>
        <w:t>Summary</w:t>
      </w:r>
    </w:p>
    <w:p w14:paraId="24701D08" w14:textId="77777777" w:rsidR="00421710" w:rsidRDefault="00421710" w:rsidP="00421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F05A" w14:textId="1B5C7393" w:rsidR="008D55F5" w:rsidRDefault="00421710" w:rsidP="0040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710">
        <w:rPr>
          <w:rFonts w:ascii="Times New Roman" w:hAnsi="Times New Roman" w:cs="Times New Roman"/>
          <w:sz w:val="24"/>
          <w:szCs w:val="24"/>
        </w:rPr>
        <w:t xml:space="preserve">Results show </w:t>
      </w:r>
      <w:r w:rsidR="00E93FE2">
        <w:rPr>
          <w:rFonts w:ascii="Times New Roman" w:hAnsi="Times New Roman" w:cs="Times New Roman"/>
          <w:sz w:val="24"/>
          <w:szCs w:val="24"/>
        </w:rPr>
        <w:t xml:space="preserve">that regardless of grade level, school location, </w:t>
      </w:r>
      <w:r w:rsidR="00300818">
        <w:rPr>
          <w:rFonts w:ascii="Times New Roman" w:hAnsi="Times New Roman" w:cs="Times New Roman"/>
          <w:sz w:val="24"/>
          <w:szCs w:val="24"/>
        </w:rPr>
        <w:t xml:space="preserve">lunch status, </w:t>
      </w:r>
      <w:r w:rsidR="00E93FE2">
        <w:rPr>
          <w:rFonts w:ascii="Times New Roman" w:hAnsi="Times New Roman" w:cs="Times New Roman"/>
          <w:sz w:val="24"/>
          <w:szCs w:val="24"/>
        </w:rPr>
        <w:t>gender, and ethnic background</w:t>
      </w:r>
      <w:r w:rsidRPr="00421710">
        <w:rPr>
          <w:rFonts w:ascii="Times New Roman" w:hAnsi="Times New Roman" w:cs="Times New Roman"/>
          <w:sz w:val="24"/>
          <w:szCs w:val="24"/>
        </w:rPr>
        <w:t xml:space="preserve">, all indicators </w:t>
      </w:r>
      <w:r w:rsidR="00E93FE2">
        <w:rPr>
          <w:rFonts w:ascii="Times New Roman" w:hAnsi="Times New Roman" w:cs="Times New Roman"/>
          <w:sz w:val="24"/>
          <w:szCs w:val="24"/>
        </w:rPr>
        <w:t>assessed</w:t>
      </w:r>
      <w:r w:rsidRPr="00421710">
        <w:rPr>
          <w:rFonts w:ascii="Times New Roman" w:hAnsi="Times New Roman" w:cs="Times New Roman"/>
          <w:sz w:val="24"/>
          <w:szCs w:val="24"/>
        </w:rPr>
        <w:t xml:space="preserve"> by Terrace Metrics provide a psychometrically sound “snapshot” of a student’s behavioral health. In addition, all indicators as well as the TFS demonstrate strong temporal stability, meaning that the system can be used over time with meaningful results</w:t>
      </w:r>
      <w:r w:rsidR="00300818">
        <w:rPr>
          <w:rFonts w:ascii="Times New Roman" w:hAnsi="Times New Roman" w:cs="Times New Roman"/>
          <w:sz w:val="24"/>
          <w:szCs w:val="24"/>
        </w:rPr>
        <w:t>, thus providing a valid “portrait” of their health status over time.</w:t>
      </w:r>
      <w:r w:rsidRPr="00421710">
        <w:rPr>
          <w:rFonts w:ascii="Times New Roman" w:hAnsi="Times New Roman" w:cs="Times New Roman"/>
          <w:sz w:val="24"/>
          <w:szCs w:val="24"/>
        </w:rPr>
        <w:t xml:space="preserve"> Most important, data reported herein illustrates how information obtained from the assessment significantly correlates with </w:t>
      </w:r>
      <w:r w:rsidR="00E93FE2">
        <w:rPr>
          <w:rFonts w:ascii="Times New Roman" w:hAnsi="Times New Roman" w:cs="Times New Roman"/>
          <w:sz w:val="24"/>
          <w:szCs w:val="24"/>
        </w:rPr>
        <w:t>key</w:t>
      </w:r>
      <w:r w:rsidRPr="00421710">
        <w:rPr>
          <w:rFonts w:ascii="Times New Roman" w:hAnsi="Times New Roman" w:cs="Times New Roman"/>
          <w:sz w:val="24"/>
          <w:szCs w:val="24"/>
        </w:rPr>
        <w:t xml:space="preserve"> objective academic and behavioral indicators. </w:t>
      </w:r>
    </w:p>
    <w:sectPr w:rsidR="008D55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66F2" w14:textId="77777777" w:rsidR="00F140F5" w:rsidRDefault="00F140F5" w:rsidP="00F94655">
      <w:pPr>
        <w:spacing w:after="0" w:line="240" w:lineRule="auto"/>
      </w:pPr>
      <w:r>
        <w:separator/>
      </w:r>
    </w:p>
  </w:endnote>
  <w:endnote w:type="continuationSeparator" w:id="0">
    <w:p w14:paraId="42C4F22A" w14:textId="77777777" w:rsidR="00F140F5" w:rsidRDefault="00F140F5" w:rsidP="00F9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SansPro-Black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Times New Roman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56DC" w14:textId="7E54077C" w:rsidR="009C2B34" w:rsidRDefault="009C2B34">
    <w:pPr>
      <w:pStyle w:val="Footer"/>
    </w:pPr>
    <w:r>
      <w:t>Copyright Terrace Metrics, Inc. 2020. Dissemination or reproduction of any information in this report forbidden without express written consent from Terrace Metrics.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82E5" w14:textId="77777777" w:rsidR="00F140F5" w:rsidRDefault="00F140F5" w:rsidP="00F94655">
      <w:pPr>
        <w:spacing w:after="0" w:line="240" w:lineRule="auto"/>
      </w:pPr>
      <w:r>
        <w:separator/>
      </w:r>
    </w:p>
  </w:footnote>
  <w:footnote w:type="continuationSeparator" w:id="0">
    <w:p w14:paraId="4B0C2897" w14:textId="77777777" w:rsidR="00F140F5" w:rsidRDefault="00F140F5" w:rsidP="00F9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346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4A9197" w14:textId="29771E88" w:rsidR="009C2B34" w:rsidRDefault="009C2B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FEEE8" w14:textId="77777777" w:rsidR="009C2B34" w:rsidRDefault="009C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6A26"/>
    <w:multiLevelType w:val="hybridMultilevel"/>
    <w:tmpl w:val="FE3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4"/>
    <w:rsid w:val="00040804"/>
    <w:rsid w:val="00042987"/>
    <w:rsid w:val="000550FB"/>
    <w:rsid w:val="000A6371"/>
    <w:rsid w:val="000A79D9"/>
    <w:rsid w:val="000B187B"/>
    <w:rsid w:val="000C553C"/>
    <w:rsid w:val="000D01F0"/>
    <w:rsid w:val="000D3891"/>
    <w:rsid w:val="000E0962"/>
    <w:rsid w:val="000F03A7"/>
    <w:rsid w:val="001122FA"/>
    <w:rsid w:val="00137888"/>
    <w:rsid w:val="0018014A"/>
    <w:rsid w:val="001D7FB6"/>
    <w:rsid w:val="001E551A"/>
    <w:rsid w:val="00232D13"/>
    <w:rsid w:val="00253D02"/>
    <w:rsid w:val="00277B5C"/>
    <w:rsid w:val="0028264D"/>
    <w:rsid w:val="00285ACD"/>
    <w:rsid w:val="0029408C"/>
    <w:rsid w:val="002C07D2"/>
    <w:rsid w:val="002D0586"/>
    <w:rsid w:val="00300818"/>
    <w:rsid w:val="003117C3"/>
    <w:rsid w:val="00387B54"/>
    <w:rsid w:val="003A7579"/>
    <w:rsid w:val="003B5CB2"/>
    <w:rsid w:val="003C012F"/>
    <w:rsid w:val="003D1608"/>
    <w:rsid w:val="003F66C0"/>
    <w:rsid w:val="00404001"/>
    <w:rsid w:val="00404E6C"/>
    <w:rsid w:val="00421710"/>
    <w:rsid w:val="00454106"/>
    <w:rsid w:val="00456A39"/>
    <w:rsid w:val="00477E08"/>
    <w:rsid w:val="00486E76"/>
    <w:rsid w:val="004B1722"/>
    <w:rsid w:val="004B547A"/>
    <w:rsid w:val="00525B97"/>
    <w:rsid w:val="00534E27"/>
    <w:rsid w:val="005456EF"/>
    <w:rsid w:val="00574FCB"/>
    <w:rsid w:val="005A323A"/>
    <w:rsid w:val="005B1DF7"/>
    <w:rsid w:val="005C4504"/>
    <w:rsid w:val="005E154F"/>
    <w:rsid w:val="005F5A1B"/>
    <w:rsid w:val="006069FC"/>
    <w:rsid w:val="00646E9C"/>
    <w:rsid w:val="00657116"/>
    <w:rsid w:val="00661CB0"/>
    <w:rsid w:val="00662D4D"/>
    <w:rsid w:val="00674674"/>
    <w:rsid w:val="00676168"/>
    <w:rsid w:val="00690D6F"/>
    <w:rsid w:val="006D4C5F"/>
    <w:rsid w:val="006D52C4"/>
    <w:rsid w:val="00764FEC"/>
    <w:rsid w:val="00795E83"/>
    <w:rsid w:val="007961B6"/>
    <w:rsid w:val="007A02E9"/>
    <w:rsid w:val="007F2510"/>
    <w:rsid w:val="007F4556"/>
    <w:rsid w:val="00802014"/>
    <w:rsid w:val="00810C82"/>
    <w:rsid w:val="008210D5"/>
    <w:rsid w:val="00852A37"/>
    <w:rsid w:val="00873B78"/>
    <w:rsid w:val="00887365"/>
    <w:rsid w:val="008D55F5"/>
    <w:rsid w:val="008D6B03"/>
    <w:rsid w:val="00900169"/>
    <w:rsid w:val="00941436"/>
    <w:rsid w:val="009539BD"/>
    <w:rsid w:val="009B2FE2"/>
    <w:rsid w:val="009C2B34"/>
    <w:rsid w:val="009D6652"/>
    <w:rsid w:val="009E043A"/>
    <w:rsid w:val="009E177D"/>
    <w:rsid w:val="009F761C"/>
    <w:rsid w:val="00A21DF3"/>
    <w:rsid w:val="00A2302D"/>
    <w:rsid w:val="00A321DD"/>
    <w:rsid w:val="00A6242C"/>
    <w:rsid w:val="00A731DC"/>
    <w:rsid w:val="00A8052A"/>
    <w:rsid w:val="00AA08AB"/>
    <w:rsid w:val="00AC33D8"/>
    <w:rsid w:val="00AD426B"/>
    <w:rsid w:val="00AD6242"/>
    <w:rsid w:val="00AF3C46"/>
    <w:rsid w:val="00B0473A"/>
    <w:rsid w:val="00B401C2"/>
    <w:rsid w:val="00B50BDC"/>
    <w:rsid w:val="00B56B7D"/>
    <w:rsid w:val="00BB689C"/>
    <w:rsid w:val="00C203D1"/>
    <w:rsid w:val="00C26A4F"/>
    <w:rsid w:val="00C31086"/>
    <w:rsid w:val="00C4317E"/>
    <w:rsid w:val="00C62B26"/>
    <w:rsid w:val="00C71F75"/>
    <w:rsid w:val="00C93EAA"/>
    <w:rsid w:val="00C9411C"/>
    <w:rsid w:val="00C94E86"/>
    <w:rsid w:val="00C97509"/>
    <w:rsid w:val="00CC1A4F"/>
    <w:rsid w:val="00D41E02"/>
    <w:rsid w:val="00D913B5"/>
    <w:rsid w:val="00D96712"/>
    <w:rsid w:val="00DC7689"/>
    <w:rsid w:val="00DF3744"/>
    <w:rsid w:val="00E022EF"/>
    <w:rsid w:val="00E13959"/>
    <w:rsid w:val="00E34FEA"/>
    <w:rsid w:val="00E758E9"/>
    <w:rsid w:val="00E93FE2"/>
    <w:rsid w:val="00E94CC5"/>
    <w:rsid w:val="00E96762"/>
    <w:rsid w:val="00E9692A"/>
    <w:rsid w:val="00EC47D7"/>
    <w:rsid w:val="00EF303F"/>
    <w:rsid w:val="00F11051"/>
    <w:rsid w:val="00F140F5"/>
    <w:rsid w:val="00F14251"/>
    <w:rsid w:val="00F30B6D"/>
    <w:rsid w:val="00F408A8"/>
    <w:rsid w:val="00F44E44"/>
    <w:rsid w:val="00F6419F"/>
    <w:rsid w:val="00F94655"/>
    <w:rsid w:val="00F96A56"/>
    <w:rsid w:val="00FE060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922D9"/>
  <w15:chartTrackingRefBased/>
  <w15:docId w15:val="{B8F91ED0-2706-427A-9C25-6AC6B20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411C"/>
    <w:pPr>
      <w:widowControl w:val="0"/>
      <w:autoSpaceDE w:val="0"/>
      <w:autoSpaceDN w:val="0"/>
      <w:adjustRightInd w:val="0"/>
      <w:spacing w:after="540" w:line="288" w:lineRule="auto"/>
      <w:textAlignment w:val="center"/>
      <w:outlineLvl w:val="1"/>
    </w:pPr>
    <w:rPr>
      <w:rFonts w:ascii="Arial Black" w:eastAsia="Calibri" w:hAnsi="Arial Black" w:cs="SourceSansPro-Black"/>
      <w:b/>
      <w:bCs/>
      <w:color w:val="343232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11C"/>
    <w:rPr>
      <w:rFonts w:ascii="Arial Black" w:eastAsia="Calibri" w:hAnsi="Arial Black" w:cs="SourceSansPro-Black"/>
      <w:b/>
      <w:bCs/>
      <w:color w:val="343232"/>
      <w:sz w:val="50"/>
      <w:szCs w:val="50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3D1608"/>
    <w:pPr>
      <w:spacing w:after="0" w:line="240" w:lineRule="auto"/>
    </w:pPr>
    <w:tblPr>
      <w:tblStyleRowBandSize w:val="1"/>
      <w:tblStyleColBandSize w:val="1"/>
      <w:tblBorders>
        <w:top w:val="single" w:sz="4" w:space="0" w:color="8AAEB4"/>
        <w:left w:val="single" w:sz="4" w:space="0" w:color="8AAEB4"/>
        <w:bottom w:val="single" w:sz="4" w:space="0" w:color="8AAEB4"/>
        <w:right w:val="single" w:sz="4" w:space="0" w:color="8AAEB4"/>
        <w:insideH w:val="single" w:sz="4" w:space="0" w:color="8AAEB4"/>
        <w:insideV w:val="single" w:sz="4" w:space="0" w:color="8AAE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F75"/>
          <w:left w:val="single" w:sz="4" w:space="0" w:color="4B6F75"/>
          <w:bottom w:val="single" w:sz="4" w:space="0" w:color="4B6F75"/>
          <w:right w:val="single" w:sz="4" w:space="0" w:color="4B6F75"/>
          <w:insideH w:val="nil"/>
          <w:insideV w:val="nil"/>
        </w:tcBorders>
        <w:shd w:val="clear" w:color="auto" w:fill="4B6F75"/>
      </w:tcPr>
    </w:tblStylePr>
    <w:tblStylePr w:type="lastRow">
      <w:rPr>
        <w:b/>
        <w:bCs/>
      </w:rPr>
      <w:tblPr/>
      <w:tcPr>
        <w:tcBorders>
          <w:top w:val="double" w:sz="4" w:space="0" w:color="4B6F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E6"/>
      </w:tcPr>
    </w:tblStylePr>
    <w:tblStylePr w:type="band1Horz">
      <w:tblPr/>
      <w:tcPr>
        <w:shd w:val="clear" w:color="auto" w:fill="D8E4E6"/>
      </w:tcPr>
    </w:tblStylePr>
  </w:style>
  <w:style w:type="table" w:styleId="GridTable4-Accent1">
    <w:name w:val="Grid Table 4 Accent 1"/>
    <w:basedOn w:val="TableNormal"/>
    <w:uiPriority w:val="49"/>
    <w:rsid w:val="003D16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887365"/>
    <w:pPr>
      <w:spacing w:after="0" w:line="240" w:lineRule="auto"/>
    </w:pPr>
    <w:tblPr>
      <w:tblStyleRowBandSize w:val="1"/>
      <w:tblStyleColBandSize w:val="1"/>
      <w:tblBorders>
        <w:top w:val="single" w:sz="4" w:space="0" w:color="8AAEB4"/>
        <w:left w:val="single" w:sz="4" w:space="0" w:color="8AAEB4"/>
        <w:bottom w:val="single" w:sz="4" w:space="0" w:color="8AAEB4"/>
        <w:right w:val="single" w:sz="4" w:space="0" w:color="8AAEB4"/>
        <w:insideH w:val="single" w:sz="4" w:space="0" w:color="8AAEB4"/>
        <w:insideV w:val="single" w:sz="4" w:space="0" w:color="8AAE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F75"/>
          <w:left w:val="single" w:sz="4" w:space="0" w:color="4B6F75"/>
          <w:bottom w:val="single" w:sz="4" w:space="0" w:color="4B6F75"/>
          <w:right w:val="single" w:sz="4" w:space="0" w:color="4B6F75"/>
          <w:insideH w:val="nil"/>
          <w:insideV w:val="nil"/>
        </w:tcBorders>
        <w:shd w:val="clear" w:color="auto" w:fill="4B6F75"/>
      </w:tcPr>
    </w:tblStylePr>
    <w:tblStylePr w:type="lastRow">
      <w:rPr>
        <w:b/>
        <w:bCs/>
      </w:rPr>
      <w:tblPr/>
      <w:tcPr>
        <w:tcBorders>
          <w:top w:val="double" w:sz="4" w:space="0" w:color="4B6F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E6"/>
      </w:tcPr>
    </w:tblStylePr>
    <w:tblStylePr w:type="band1Horz">
      <w:tblPr/>
      <w:tcPr>
        <w:shd w:val="clear" w:color="auto" w:fill="D8E4E6"/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887365"/>
    <w:pPr>
      <w:spacing w:after="0" w:line="240" w:lineRule="auto"/>
    </w:pPr>
    <w:tblPr>
      <w:tblStyleRowBandSize w:val="1"/>
      <w:tblStyleColBandSize w:val="1"/>
      <w:tblBorders>
        <w:top w:val="single" w:sz="4" w:space="0" w:color="8AAEB4"/>
        <w:left w:val="single" w:sz="4" w:space="0" w:color="8AAEB4"/>
        <w:bottom w:val="single" w:sz="4" w:space="0" w:color="8AAEB4"/>
        <w:right w:val="single" w:sz="4" w:space="0" w:color="8AAEB4"/>
        <w:insideH w:val="single" w:sz="4" w:space="0" w:color="8AAEB4"/>
        <w:insideV w:val="single" w:sz="4" w:space="0" w:color="8AAEB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F75"/>
          <w:left w:val="single" w:sz="4" w:space="0" w:color="4B6F75"/>
          <w:bottom w:val="single" w:sz="4" w:space="0" w:color="4B6F75"/>
          <w:right w:val="single" w:sz="4" w:space="0" w:color="4B6F75"/>
          <w:insideH w:val="nil"/>
          <w:insideV w:val="nil"/>
        </w:tcBorders>
        <w:shd w:val="clear" w:color="auto" w:fill="4B6F75"/>
      </w:tcPr>
    </w:tblStylePr>
    <w:tblStylePr w:type="lastRow">
      <w:rPr>
        <w:b/>
        <w:bCs/>
      </w:rPr>
      <w:tblPr/>
      <w:tcPr>
        <w:tcBorders>
          <w:top w:val="double" w:sz="4" w:space="0" w:color="4B6F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E6"/>
      </w:tcPr>
    </w:tblStylePr>
    <w:tblStylePr w:type="band1Horz">
      <w:tblPr/>
      <w:tcPr>
        <w:shd w:val="clear" w:color="auto" w:fill="D8E4E6"/>
      </w:tcPr>
    </w:tblStylePr>
  </w:style>
  <w:style w:type="character" w:styleId="Hyperlink">
    <w:name w:val="Hyperlink"/>
    <w:basedOn w:val="DefaultParagraphFont"/>
    <w:uiPriority w:val="99"/>
    <w:unhideWhenUsed/>
    <w:rsid w:val="009B2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B2F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B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55"/>
  </w:style>
  <w:style w:type="paragraph" w:styleId="Footer">
    <w:name w:val="footer"/>
    <w:basedOn w:val="Normal"/>
    <w:link w:val="FooterChar"/>
    <w:uiPriority w:val="99"/>
    <w:unhideWhenUsed/>
    <w:rsid w:val="00F9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55"/>
  </w:style>
  <w:style w:type="paragraph" w:styleId="BalloonText">
    <w:name w:val="Balloon Text"/>
    <w:basedOn w:val="Normal"/>
    <w:link w:val="BalloonTextChar"/>
    <w:uiPriority w:val="99"/>
    <w:semiHidden/>
    <w:unhideWhenUsed/>
    <w:rsid w:val="009C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racemetri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s.ed.gov/programs/digest/d17/tables/dt17_204.10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Gilman</dc:creator>
  <cp:keywords/>
  <dc:description/>
  <cp:lastModifiedBy>Rich Gilman</cp:lastModifiedBy>
  <cp:revision>2</cp:revision>
  <dcterms:created xsi:type="dcterms:W3CDTF">2023-05-11T02:18:00Z</dcterms:created>
  <dcterms:modified xsi:type="dcterms:W3CDTF">2023-05-11T02:18:00Z</dcterms:modified>
</cp:coreProperties>
</file>